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0E" w:rsidRDefault="00A83294" w:rsidP="00796C8D">
      <w:pPr>
        <w:pStyle w:val="Heading1"/>
      </w:pPr>
      <w:r w:rsidRPr="00A1178E">
        <w:t>Independent Review into Parliamentary practices and procedures to support workplace culture (the Review)</w:t>
      </w:r>
    </w:p>
    <w:p w:rsidR="000904B5" w:rsidRPr="00796C8D" w:rsidRDefault="00A1178E" w:rsidP="00796C8D">
      <w:pPr>
        <w:pStyle w:val="Heading2"/>
        <w:rPr>
          <w:color w:val="004F50"/>
        </w:rPr>
      </w:pPr>
      <w:r w:rsidRPr="00796C8D">
        <w:rPr>
          <w:color w:val="004F50"/>
        </w:rPr>
        <w:t>Written submission</w:t>
      </w:r>
      <w:r w:rsidR="000904B5" w:rsidRPr="00796C8D">
        <w:rPr>
          <w:color w:val="004F50"/>
        </w:rPr>
        <w:t xml:space="preserve"> </w:t>
      </w:r>
      <w:r w:rsidR="00A83294" w:rsidRPr="00796C8D">
        <w:rPr>
          <w:color w:val="004F50"/>
        </w:rPr>
        <w:t>information</w:t>
      </w:r>
      <w:r w:rsidR="003A3F1C">
        <w:rPr>
          <w:color w:val="004F50"/>
        </w:rPr>
        <w:t xml:space="preserve"> </w:t>
      </w:r>
    </w:p>
    <w:p w:rsidR="00AA76D7" w:rsidRPr="00A1178E" w:rsidRDefault="00AA76D7" w:rsidP="00796C8D">
      <w:pPr>
        <w:pStyle w:val="Heading3"/>
        <w:rPr>
          <w:sz w:val="22"/>
          <w:szCs w:val="22"/>
        </w:rPr>
      </w:pPr>
      <w:r w:rsidRPr="00A1178E">
        <w:rPr>
          <w:sz w:val="22"/>
          <w:szCs w:val="22"/>
        </w:rPr>
        <w:t>The Review is open to Review participants</w:t>
      </w:r>
      <w:r w:rsidR="00FF1FB6">
        <w:rPr>
          <w:sz w:val="22"/>
          <w:szCs w:val="22"/>
        </w:rPr>
        <w:t xml:space="preserve"> as </w:t>
      </w:r>
      <w:r w:rsidRPr="00A1178E">
        <w:rPr>
          <w:sz w:val="22"/>
          <w:szCs w:val="22"/>
        </w:rPr>
        <w:t xml:space="preserve">defined below: </w:t>
      </w:r>
      <w:r w:rsidR="00796C8D">
        <w:rPr>
          <w:sz w:val="22"/>
          <w:szCs w:val="22"/>
        </w:rPr>
        <w:br/>
      </w:r>
    </w:p>
    <w:p w:rsidR="00AA76D7" w:rsidRPr="00867110" w:rsidRDefault="00AA76D7" w:rsidP="00AA76D7">
      <w:pPr>
        <w:ind w:left="720"/>
        <w:rPr>
          <w:sz w:val="20"/>
          <w:szCs w:val="20"/>
        </w:rPr>
      </w:pPr>
      <w:r w:rsidRPr="00867110">
        <w:rPr>
          <w:sz w:val="20"/>
          <w:szCs w:val="20"/>
        </w:rPr>
        <w:t xml:space="preserve">The </w:t>
      </w:r>
      <w:r w:rsidRPr="00867110">
        <w:rPr>
          <w:b/>
          <w:sz w:val="20"/>
          <w:szCs w:val="20"/>
        </w:rPr>
        <w:t xml:space="preserve">MPS Workplace </w:t>
      </w:r>
      <w:r w:rsidRPr="00867110">
        <w:rPr>
          <w:sz w:val="20"/>
          <w:szCs w:val="20"/>
        </w:rPr>
        <w:t xml:space="preserve">is all members of parliament, and the people working (in whatever capacity) in or for Parliament House, electorate offices, and Ministers’ offices. It also encompasses regularly contracted services including security, catering and cleaning staff. The scope of the workplace extends to include work related travel and events. </w:t>
      </w:r>
    </w:p>
    <w:p w:rsidR="00AA76D7" w:rsidRPr="00867110" w:rsidRDefault="00AA76D7" w:rsidP="00AA76D7">
      <w:pPr>
        <w:ind w:left="720"/>
        <w:rPr>
          <w:sz w:val="20"/>
          <w:szCs w:val="20"/>
        </w:rPr>
      </w:pPr>
      <w:r w:rsidRPr="00867110">
        <w:rPr>
          <w:b/>
          <w:sz w:val="20"/>
          <w:szCs w:val="20"/>
        </w:rPr>
        <w:t>Review participants</w:t>
      </w:r>
      <w:r w:rsidRPr="00867110">
        <w:rPr>
          <w:sz w:val="20"/>
          <w:szCs w:val="20"/>
        </w:rPr>
        <w:t xml:space="preserve"> are current and former staff and employees for the period 1 July 2019 to present. </w:t>
      </w:r>
    </w:p>
    <w:p w:rsidR="00A1178E" w:rsidRPr="00A1178E" w:rsidRDefault="00A1178E" w:rsidP="00A1178E">
      <w:pPr>
        <w:rPr>
          <w:rFonts w:cstheme="minorHAnsi"/>
          <w:sz w:val="22"/>
          <w:szCs w:val="22"/>
        </w:rPr>
      </w:pPr>
      <w:r w:rsidRPr="00A1178E">
        <w:rPr>
          <w:sz w:val="22"/>
          <w:szCs w:val="22"/>
          <w:shd w:val="clear" w:color="auto" w:fill="FEFEFE"/>
        </w:rPr>
        <w:t xml:space="preserve">Written submissions are an integral part to the Review. </w:t>
      </w:r>
      <w:r w:rsidRPr="00A1178E">
        <w:rPr>
          <w:rFonts w:cstheme="minorHAnsi"/>
          <w:sz w:val="22"/>
          <w:szCs w:val="22"/>
        </w:rPr>
        <w:t>Personal stories are the cornerstone to driving change and making a written submission</w:t>
      </w:r>
      <w:r w:rsidR="00A83294">
        <w:rPr>
          <w:rFonts w:cstheme="minorHAnsi"/>
          <w:sz w:val="22"/>
          <w:szCs w:val="22"/>
        </w:rPr>
        <w:t xml:space="preserve"> will help</w:t>
      </w:r>
      <w:r w:rsidRPr="00A1178E">
        <w:rPr>
          <w:rFonts w:cstheme="minorHAnsi"/>
          <w:sz w:val="22"/>
          <w:szCs w:val="22"/>
        </w:rPr>
        <w:t xml:space="preserve"> to provide context for the recommendations made from the Review.</w:t>
      </w:r>
    </w:p>
    <w:p w:rsidR="00A1178E" w:rsidRDefault="00A1178E" w:rsidP="00A1178E">
      <w:pPr>
        <w:rPr>
          <w:rFonts w:cstheme="minorHAnsi"/>
          <w:sz w:val="22"/>
          <w:szCs w:val="22"/>
        </w:rPr>
      </w:pPr>
      <w:r w:rsidRPr="00A1178E">
        <w:rPr>
          <w:rFonts w:cstheme="minorHAnsi"/>
          <w:sz w:val="22"/>
          <w:szCs w:val="22"/>
        </w:rPr>
        <w:t>It is through your submission that the Independent Reviewer will understand your lived experiences at work, and the impact workplace discrimination, sexual harassment and bullying has had on you.</w:t>
      </w:r>
    </w:p>
    <w:p w:rsidR="00EA74CB" w:rsidRPr="00EA74CB" w:rsidRDefault="008E59CE" w:rsidP="00EA74CB">
      <w:pPr>
        <w:rPr>
          <w:b/>
        </w:rPr>
      </w:pPr>
      <w:r>
        <w:rPr>
          <w:rFonts w:cstheme="minorHAnsi"/>
          <w:b/>
          <w:sz w:val="22"/>
          <w:szCs w:val="22"/>
        </w:rPr>
        <w:t>Send</w:t>
      </w:r>
      <w:r w:rsidR="00EA74CB" w:rsidRPr="00EA74CB">
        <w:rPr>
          <w:rFonts w:cstheme="minorHAnsi"/>
          <w:b/>
          <w:sz w:val="22"/>
          <w:szCs w:val="22"/>
        </w:rPr>
        <w:t xml:space="preserve"> your submission via email or post</w:t>
      </w:r>
      <w:r>
        <w:rPr>
          <w:rFonts w:cstheme="minorHAnsi"/>
          <w:b/>
          <w:sz w:val="22"/>
          <w:szCs w:val="22"/>
        </w:rPr>
        <w:t xml:space="preserve"> by Friday 13 May 2022</w:t>
      </w:r>
      <w:r w:rsidR="00EA74CB" w:rsidRPr="00EA74CB">
        <w:rPr>
          <w:rFonts w:cstheme="minorHAnsi"/>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EA74CB" w:rsidTr="00EA74CB">
        <w:tc>
          <w:tcPr>
            <w:tcW w:w="4395" w:type="dxa"/>
          </w:tcPr>
          <w:p w:rsidR="00EA74CB" w:rsidRPr="00EA74CB" w:rsidRDefault="00EA74CB" w:rsidP="00855989">
            <w:pPr>
              <w:rPr>
                <w:b/>
                <w:sz w:val="22"/>
                <w:szCs w:val="22"/>
              </w:rPr>
            </w:pPr>
            <w:r w:rsidRPr="00EA74CB">
              <w:rPr>
                <w:b/>
                <w:sz w:val="22"/>
                <w:szCs w:val="22"/>
              </w:rPr>
              <w:t xml:space="preserve">Email: </w:t>
            </w:r>
            <w:r>
              <w:rPr>
                <w:b/>
                <w:sz w:val="22"/>
                <w:szCs w:val="22"/>
              </w:rPr>
              <w:br/>
            </w:r>
            <w:hyperlink r:id="rId8" w:history="1">
              <w:r w:rsidRPr="00EA74CB">
                <w:rPr>
                  <w:rStyle w:val="Hyperlink"/>
                  <w:rFonts w:ascii="Open Sans" w:hAnsi="Open Sans" w:cs="Open Sans"/>
                  <w:sz w:val="22"/>
                  <w:szCs w:val="22"/>
                </w:rPr>
                <w:t>MPSReview@equalopportunity.tas.gov.au</w:t>
              </w:r>
            </w:hyperlink>
          </w:p>
        </w:tc>
        <w:tc>
          <w:tcPr>
            <w:tcW w:w="4252" w:type="dxa"/>
          </w:tcPr>
          <w:p w:rsidR="00EA74CB" w:rsidRPr="00EA74CB" w:rsidRDefault="00EA74CB" w:rsidP="00C81FB9">
            <w:pPr>
              <w:ind w:right="-1380"/>
              <w:rPr>
                <w:sz w:val="22"/>
                <w:szCs w:val="22"/>
              </w:rPr>
            </w:pPr>
            <w:r w:rsidRPr="00EA74CB">
              <w:rPr>
                <w:b/>
                <w:sz w:val="22"/>
                <w:szCs w:val="22"/>
              </w:rPr>
              <w:t>Post:</w:t>
            </w:r>
            <w:r w:rsidRPr="00EA74CB">
              <w:rPr>
                <w:rStyle w:val="Heading4Char"/>
                <w:sz w:val="22"/>
                <w:szCs w:val="22"/>
              </w:rPr>
              <w:t xml:space="preserve"> </w:t>
            </w:r>
            <w:r w:rsidRPr="00EA74CB">
              <w:rPr>
                <w:rFonts w:ascii="Open Sans" w:hAnsi="Open Sans" w:cs="Open Sans"/>
                <w:sz w:val="22"/>
                <w:szCs w:val="22"/>
              </w:rPr>
              <w:br/>
              <w:t>Equal Opportunity Tasmania (MPS Review)</w:t>
            </w:r>
            <w:r w:rsidRPr="00EA74CB">
              <w:rPr>
                <w:rFonts w:ascii="Open Sans" w:hAnsi="Open Sans" w:cs="Open Sans"/>
                <w:sz w:val="22"/>
                <w:szCs w:val="22"/>
              </w:rPr>
              <w:br/>
              <w:t>GPO Box 197</w:t>
            </w:r>
            <w:r w:rsidRPr="00EA74CB">
              <w:rPr>
                <w:rFonts w:ascii="Open Sans" w:hAnsi="Open Sans" w:cs="Open Sans"/>
                <w:sz w:val="22"/>
                <w:szCs w:val="22"/>
              </w:rPr>
              <w:br/>
              <w:t>HOBART  TAS  7001</w:t>
            </w:r>
          </w:p>
        </w:tc>
      </w:tr>
    </w:tbl>
    <w:p w:rsidR="00EA74CB" w:rsidRDefault="00EA74CB" w:rsidP="000904B5">
      <w:pPr>
        <w:rPr>
          <w:rFonts w:eastAsiaTheme="minorEastAsia" w:cs="Arial"/>
          <w:b/>
          <w:color w:val="000000"/>
          <w:lang w:val="en-GB"/>
        </w:rPr>
      </w:pPr>
      <w:r w:rsidRPr="00E732E9">
        <w:rPr>
          <w:rFonts w:eastAsiaTheme="minorEastAsia" w:cs="Arial"/>
          <w:b/>
          <w:color w:val="000000"/>
          <w:sz w:val="22"/>
          <w:szCs w:val="22"/>
          <w:lang w:val="en-GB"/>
        </w:rPr>
        <w:t xml:space="preserve">Your submission will remain confidential regardless of whether it </w:t>
      </w:r>
      <w:r>
        <w:rPr>
          <w:rFonts w:eastAsiaTheme="minorEastAsia" w:cs="Arial"/>
          <w:b/>
          <w:color w:val="000000"/>
          <w:sz w:val="22"/>
          <w:szCs w:val="22"/>
          <w:lang w:val="en-GB"/>
        </w:rPr>
        <w:t xml:space="preserve">is made </w:t>
      </w:r>
      <w:r w:rsidRPr="00E732E9">
        <w:rPr>
          <w:rFonts w:eastAsiaTheme="minorEastAsia" w:cs="Arial"/>
          <w:b/>
          <w:color w:val="000000"/>
          <w:sz w:val="22"/>
          <w:szCs w:val="22"/>
          <w:lang w:val="en-GB"/>
        </w:rPr>
        <w:t>anonymously or not.</w:t>
      </w:r>
      <w:r>
        <w:rPr>
          <w:rFonts w:eastAsiaTheme="minorEastAsia" w:cs="Arial"/>
          <w:b/>
          <w:color w:val="000000"/>
          <w:lang w:val="en-GB"/>
        </w:rPr>
        <w:t xml:space="preserve"> </w:t>
      </w:r>
    </w:p>
    <w:p w:rsidR="00867110" w:rsidRPr="00C81FB9" w:rsidRDefault="00867110" w:rsidP="000904B5">
      <w:pPr>
        <w:rPr>
          <w:rFonts w:cstheme="minorHAnsi"/>
          <w:sz w:val="22"/>
          <w:szCs w:val="22"/>
        </w:rPr>
      </w:pPr>
      <w:r w:rsidRPr="00867110">
        <w:rPr>
          <w:rFonts w:cstheme="minorHAnsi"/>
          <w:sz w:val="22"/>
          <w:szCs w:val="22"/>
        </w:rPr>
        <w:t xml:space="preserve">If you are under the age of 18 years and want to participate in the </w:t>
      </w:r>
      <w:r w:rsidR="00EB4133" w:rsidRPr="00867110">
        <w:rPr>
          <w:rFonts w:cstheme="minorHAnsi"/>
          <w:sz w:val="22"/>
          <w:szCs w:val="22"/>
        </w:rPr>
        <w:t>Review,</w:t>
      </w:r>
      <w:r w:rsidRPr="00867110">
        <w:rPr>
          <w:rFonts w:cstheme="minorHAnsi"/>
          <w:sz w:val="22"/>
          <w:szCs w:val="22"/>
        </w:rPr>
        <w:t xml:space="preserve"> please </w:t>
      </w:r>
      <w:r w:rsidR="00C81FB9">
        <w:rPr>
          <w:rFonts w:cstheme="minorHAnsi"/>
          <w:sz w:val="22"/>
          <w:szCs w:val="22"/>
        </w:rPr>
        <w:t>ensure you also attach the</w:t>
      </w:r>
      <w:r w:rsidRPr="00867110">
        <w:rPr>
          <w:rFonts w:cstheme="minorHAnsi"/>
          <w:sz w:val="22"/>
          <w:szCs w:val="22"/>
        </w:rPr>
        <w:t xml:space="preserve"> </w:t>
      </w:r>
      <w:r w:rsidR="00C81FB9" w:rsidRPr="00C81FB9">
        <w:rPr>
          <w:rFonts w:cstheme="minorHAnsi"/>
          <w:b/>
          <w:sz w:val="22"/>
          <w:szCs w:val="22"/>
        </w:rPr>
        <w:t>Consent Form: Parent/Guardian of Review part</w:t>
      </w:r>
      <w:r w:rsidR="008E59CE">
        <w:rPr>
          <w:rFonts w:cstheme="minorHAnsi"/>
          <w:b/>
          <w:sz w:val="22"/>
          <w:szCs w:val="22"/>
        </w:rPr>
        <w:t xml:space="preserve"> under the age of 17</w:t>
      </w:r>
      <w:r w:rsidR="00C81FB9">
        <w:rPr>
          <w:rFonts w:cstheme="minorHAnsi"/>
          <w:b/>
          <w:sz w:val="22"/>
          <w:szCs w:val="22"/>
        </w:rPr>
        <w:t xml:space="preserve"> years old, </w:t>
      </w:r>
      <w:r w:rsidR="00C81FB9">
        <w:rPr>
          <w:rFonts w:cstheme="minorHAnsi"/>
          <w:sz w:val="22"/>
          <w:szCs w:val="22"/>
        </w:rPr>
        <w:t xml:space="preserve">contained in the </w:t>
      </w:r>
      <w:hyperlink r:id="rId9" w:history="1">
        <w:r w:rsidR="00C81FB9" w:rsidRPr="00992F9A">
          <w:rPr>
            <w:rStyle w:val="Hyperlink"/>
            <w:rFonts w:cstheme="minorHAnsi"/>
            <w:b/>
            <w:sz w:val="22"/>
            <w:szCs w:val="22"/>
          </w:rPr>
          <w:t>Participan</w:t>
        </w:r>
        <w:bookmarkStart w:id="0" w:name="_GoBack"/>
        <w:bookmarkEnd w:id="0"/>
        <w:r w:rsidR="00C81FB9" w:rsidRPr="00992F9A">
          <w:rPr>
            <w:rStyle w:val="Hyperlink"/>
            <w:rFonts w:cstheme="minorHAnsi"/>
            <w:b/>
            <w:sz w:val="22"/>
            <w:szCs w:val="22"/>
          </w:rPr>
          <w:t>t</w:t>
        </w:r>
        <w:r w:rsidR="00C81FB9" w:rsidRPr="00992F9A">
          <w:rPr>
            <w:rStyle w:val="Hyperlink"/>
            <w:rFonts w:cstheme="minorHAnsi"/>
            <w:b/>
            <w:sz w:val="22"/>
            <w:szCs w:val="22"/>
          </w:rPr>
          <w:t xml:space="preserve"> Information Pack</w:t>
        </w:r>
      </w:hyperlink>
      <w:r w:rsidR="00C81FB9">
        <w:rPr>
          <w:rFonts w:cstheme="minorHAnsi"/>
          <w:b/>
          <w:sz w:val="22"/>
          <w:szCs w:val="22"/>
        </w:rPr>
        <w:t xml:space="preserve"> </w:t>
      </w:r>
      <w:r w:rsidR="00C81FB9">
        <w:rPr>
          <w:rFonts w:cstheme="minorHAnsi"/>
          <w:sz w:val="22"/>
          <w:szCs w:val="22"/>
        </w:rPr>
        <w:t xml:space="preserve">for your submission to be accepted. </w:t>
      </w:r>
    </w:p>
    <w:p w:rsidR="00625C93" w:rsidRDefault="00AA76D7" w:rsidP="000904B5">
      <w:pPr>
        <w:rPr>
          <w:color w:val="004F50"/>
        </w:rPr>
      </w:pPr>
      <w:r w:rsidRPr="00A1178E">
        <w:rPr>
          <w:sz w:val="22"/>
          <w:szCs w:val="22"/>
          <w:shd w:val="clear" w:color="auto" w:fill="FEFEFE"/>
        </w:rPr>
        <w:t xml:space="preserve">If you would </w:t>
      </w:r>
      <w:r w:rsidR="00EA74CB">
        <w:rPr>
          <w:sz w:val="22"/>
          <w:szCs w:val="22"/>
          <w:shd w:val="clear" w:color="auto" w:fill="FEFEFE"/>
        </w:rPr>
        <w:t xml:space="preserve">like any further </w:t>
      </w:r>
      <w:proofErr w:type="gramStart"/>
      <w:r w:rsidR="00EA74CB">
        <w:rPr>
          <w:sz w:val="22"/>
          <w:szCs w:val="22"/>
          <w:shd w:val="clear" w:color="auto" w:fill="FEFEFE"/>
        </w:rPr>
        <w:t>information</w:t>
      </w:r>
      <w:proofErr w:type="gramEnd"/>
      <w:r w:rsidR="00EA74CB">
        <w:rPr>
          <w:sz w:val="22"/>
          <w:szCs w:val="22"/>
          <w:shd w:val="clear" w:color="auto" w:fill="FEFEFE"/>
        </w:rPr>
        <w:t xml:space="preserve"> </w:t>
      </w:r>
      <w:r w:rsidRPr="00A1178E">
        <w:rPr>
          <w:sz w:val="22"/>
          <w:szCs w:val="22"/>
          <w:shd w:val="clear" w:color="auto" w:fill="FEFEFE"/>
        </w:rPr>
        <w:t xml:space="preserve">please contact the MPS Workplace Review Team at </w:t>
      </w:r>
      <w:hyperlink r:id="rId10" w:history="1">
        <w:r w:rsidRPr="00625C93">
          <w:rPr>
            <w:rStyle w:val="Hyperlink"/>
            <w:rFonts w:cs="Arial"/>
            <w:b/>
            <w:sz w:val="22"/>
            <w:szCs w:val="22"/>
            <w:shd w:val="clear" w:color="auto" w:fill="FEFEFE"/>
          </w:rPr>
          <w:t>MPSReview@equalopportunity.tas.gov.au</w:t>
        </w:r>
      </w:hyperlink>
      <w:r w:rsidRPr="00625C93">
        <w:rPr>
          <w:rFonts w:cs="Arial"/>
          <w:b/>
          <w:sz w:val="22"/>
          <w:szCs w:val="22"/>
          <w:shd w:val="clear" w:color="auto" w:fill="FEFEFE"/>
        </w:rPr>
        <w:t xml:space="preserve"> </w:t>
      </w:r>
      <w:r w:rsidRPr="00625C93">
        <w:rPr>
          <w:rFonts w:cs="Arial"/>
          <w:sz w:val="22"/>
          <w:szCs w:val="22"/>
          <w:shd w:val="clear" w:color="auto" w:fill="FEFEFE"/>
        </w:rPr>
        <w:t xml:space="preserve">or on </w:t>
      </w:r>
      <w:r w:rsidRPr="00625C93">
        <w:rPr>
          <w:rFonts w:cs="Arial"/>
          <w:b/>
          <w:sz w:val="22"/>
          <w:szCs w:val="22"/>
          <w:shd w:val="clear" w:color="auto" w:fill="FEFEFE"/>
        </w:rPr>
        <w:t>(03) 6165 7515</w:t>
      </w:r>
      <w:r w:rsidRPr="00625C93">
        <w:rPr>
          <w:rFonts w:cs="Arial"/>
          <w:sz w:val="22"/>
          <w:szCs w:val="22"/>
          <w:shd w:val="clear" w:color="auto" w:fill="FEFEFE"/>
        </w:rPr>
        <w:t>.</w:t>
      </w:r>
      <w:r w:rsidRPr="00625C93">
        <w:rPr>
          <w:rFonts w:cs="Arial"/>
          <w:sz w:val="22"/>
          <w:szCs w:val="22"/>
        </w:rPr>
        <w:t xml:space="preserve"> </w:t>
      </w:r>
    </w:p>
    <w:p w:rsidR="003874AF" w:rsidRPr="000B238B" w:rsidRDefault="003874AF" w:rsidP="000904B5">
      <w:pPr>
        <w:rPr>
          <w:rFonts w:ascii="Open Sans" w:hAnsi="Open Sans" w:cs="Open Sans"/>
          <w:color w:val="1F1923"/>
          <w:sz w:val="22"/>
          <w:szCs w:val="22"/>
          <w:shd w:val="clear" w:color="auto" w:fill="FEFEFE"/>
        </w:rPr>
      </w:pPr>
      <w:r w:rsidRPr="00E732E9">
        <w:rPr>
          <w:rFonts w:ascii="Open Sans" w:hAnsi="Open Sans" w:cs="Open Sans"/>
          <w:color w:val="1F1923"/>
          <w:sz w:val="22"/>
          <w:szCs w:val="22"/>
          <w:shd w:val="clear" w:color="auto" w:fill="FEFEFE"/>
        </w:rPr>
        <w:lastRenderedPageBreak/>
        <w:t xml:space="preserve">Written submissions </w:t>
      </w:r>
      <w:r w:rsidR="00A83294">
        <w:rPr>
          <w:rFonts w:ascii="Open Sans" w:hAnsi="Open Sans" w:cs="Open Sans"/>
          <w:color w:val="1F1923"/>
          <w:sz w:val="22"/>
          <w:szCs w:val="22"/>
          <w:shd w:val="clear" w:color="auto" w:fill="FEFEFE"/>
        </w:rPr>
        <w:t>may include copies of</w:t>
      </w:r>
      <w:r w:rsidRPr="00E732E9">
        <w:rPr>
          <w:rFonts w:cstheme="minorHAnsi"/>
          <w:sz w:val="22"/>
          <w:szCs w:val="22"/>
        </w:rPr>
        <w:t xml:space="preserve"> email</w:t>
      </w:r>
      <w:r w:rsidR="00A83294">
        <w:rPr>
          <w:rFonts w:cstheme="minorHAnsi"/>
          <w:sz w:val="22"/>
          <w:szCs w:val="22"/>
        </w:rPr>
        <w:t>s</w:t>
      </w:r>
      <w:r w:rsidRPr="00E732E9">
        <w:rPr>
          <w:rFonts w:cstheme="minorHAnsi"/>
          <w:sz w:val="22"/>
          <w:szCs w:val="22"/>
        </w:rPr>
        <w:t xml:space="preserve">, photos, and/or </w:t>
      </w:r>
      <w:r w:rsidR="00A83294">
        <w:rPr>
          <w:rFonts w:cstheme="minorHAnsi"/>
          <w:sz w:val="22"/>
          <w:szCs w:val="22"/>
        </w:rPr>
        <w:t xml:space="preserve">other relevant </w:t>
      </w:r>
      <w:r w:rsidRPr="00E732E9">
        <w:rPr>
          <w:rFonts w:cstheme="minorHAnsi"/>
          <w:sz w:val="22"/>
          <w:szCs w:val="22"/>
        </w:rPr>
        <w:t xml:space="preserve">documents. </w:t>
      </w:r>
    </w:p>
    <w:p w:rsidR="00CD0188" w:rsidRDefault="00CD0188" w:rsidP="00CD0188">
      <w:pPr>
        <w:rPr>
          <w:rFonts w:cstheme="minorHAnsi"/>
          <w:sz w:val="22"/>
          <w:szCs w:val="22"/>
        </w:rPr>
      </w:pPr>
      <w:r>
        <w:rPr>
          <w:rFonts w:cstheme="minorHAnsi"/>
          <w:sz w:val="22"/>
          <w:szCs w:val="22"/>
        </w:rPr>
        <w:t>Written submissions can be as short or as long as you consider appropriate</w:t>
      </w:r>
      <w:r w:rsidR="00625C93">
        <w:rPr>
          <w:rFonts w:cstheme="minorHAnsi"/>
          <w:sz w:val="22"/>
          <w:szCs w:val="22"/>
        </w:rPr>
        <w:t>.</w:t>
      </w:r>
    </w:p>
    <w:p w:rsidR="00AE3035" w:rsidRPr="00625C93" w:rsidRDefault="00AE3035" w:rsidP="00AE3035">
      <w:pPr>
        <w:rPr>
          <w:rFonts w:cstheme="minorHAnsi"/>
          <w:sz w:val="22"/>
          <w:szCs w:val="22"/>
        </w:rPr>
      </w:pPr>
      <w:r w:rsidRPr="00625C93">
        <w:rPr>
          <w:rFonts w:cstheme="minorHAnsi"/>
          <w:sz w:val="22"/>
          <w:szCs w:val="22"/>
        </w:rPr>
        <w:t>Should you feel comfortable to do so</w:t>
      </w:r>
      <w:r w:rsidR="00EA74CB">
        <w:rPr>
          <w:rFonts w:cstheme="minorHAnsi"/>
          <w:sz w:val="22"/>
          <w:szCs w:val="22"/>
        </w:rPr>
        <w:t>,</w:t>
      </w:r>
      <w:r w:rsidRPr="00625C93">
        <w:rPr>
          <w:rFonts w:cstheme="minorHAnsi"/>
          <w:sz w:val="22"/>
          <w:szCs w:val="22"/>
        </w:rPr>
        <w:t xml:space="preserve"> please include your role, past or present</w:t>
      </w:r>
      <w:r w:rsidR="00EA74CB">
        <w:rPr>
          <w:rFonts w:cstheme="minorHAnsi"/>
          <w:sz w:val="22"/>
          <w:szCs w:val="22"/>
        </w:rPr>
        <w:t>,</w:t>
      </w:r>
      <w:r w:rsidRPr="00625C93">
        <w:rPr>
          <w:rFonts w:cstheme="minorHAnsi"/>
          <w:sz w:val="22"/>
          <w:szCs w:val="22"/>
        </w:rPr>
        <w:t xml:space="preserve"> within </w:t>
      </w:r>
      <w:r w:rsidR="00625C93">
        <w:rPr>
          <w:rFonts w:cstheme="minorHAnsi"/>
          <w:sz w:val="22"/>
          <w:szCs w:val="22"/>
        </w:rPr>
        <w:t xml:space="preserve">the </w:t>
      </w:r>
      <w:r w:rsidRPr="00625C93">
        <w:rPr>
          <w:rFonts w:cstheme="minorHAnsi"/>
          <w:sz w:val="22"/>
          <w:szCs w:val="22"/>
        </w:rPr>
        <w:t>Ministerial and Parliamentary Services</w:t>
      </w:r>
      <w:r w:rsidR="00625C93">
        <w:rPr>
          <w:rFonts w:cstheme="minorHAnsi"/>
          <w:sz w:val="22"/>
          <w:szCs w:val="22"/>
        </w:rPr>
        <w:t xml:space="preserve"> </w:t>
      </w:r>
      <w:proofErr w:type="gramStart"/>
      <w:r w:rsidR="00625C93">
        <w:rPr>
          <w:rFonts w:cstheme="minorHAnsi"/>
          <w:sz w:val="22"/>
          <w:szCs w:val="22"/>
        </w:rPr>
        <w:t>workplace.</w:t>
      </w:r>
      <w:proofErr w:type="gramEnd"/>
    </w:p>
    <w:p w:rsidR="00AE3035" w:rsidRPr="00625C93" w:rsidRDefault="005E250E" w:rsidP="00625C93">
      <w:pPr>
        <w:pStyle w:val="Heading3"/>
        <w:rPr>
          <w:color w:val="004F50"/>
          <w:shd w:val="clear" w:color="auto" w:fill="FEFEFE"/>
        </w:rPr>
      </w:pPr>
      <w:r w:rsidRPr="00625C93">
        <w:rPr>
          <w:color w:val="004F50"/>
          <w:shd w:val="clear" w:color="auto" w:fill="FEFEFE"/>
        </w:rPr>
        <w:t>The questions below are a guide. They may assist you in formulating you</w:t>
      </w:r>
      <w:r w:rsidR="00AE3035" w:rsidRPr="00625C93">
        <w:rPr>
          <w:color w:val="004F50"/>
          <w:shd w:val="clear" w:color="auto" w:fill="FEFEFE"/>
        </w:rPr>
        <w:t>r</w:t>
      </w:r>
      <w:r w:rsidRPr="00625C93">
        <w:rPr>
          <w:color w:val="004F50"/>
          <w:shd w:val="clear" w:color="auto" w:fill="FEFEFE"/>
        </w:rPr>
        <w:t xml:space="preserve"> submission.</w:t>
      </w:r>
    </w:p>
    <w:p w:rsidR="00625C93" w:rsidRPr="00625C93" w:rsidRDefault="00625C93" w:rsidP="00625C93">
      <w:pPr>
        <w:pStyle w:val="Heading1"/>
        <w:rPr>
          <w:rFonts w:ascii="Open Sans" w:hAnsi="Open Sans" w:cs="Open Sans"/>
          <w:b w:val="0"/>
          <w:color w:val="1F1923"/>
          <w:sz w:val="22"/>
          <w:szCs w:val="22"/>
          <w:shd w:val="clear" w:color="auto" w:fill="FEFEFE"/>
        </w:rPr>
      </w:pPr>
      <w:r w:rsidRPr="00A83294">
        <w:rPr>
          <w:rFonts w:ascii="Open Sans" w:hAnsi="Open Sans" w:cs="Open Sans"/>
          <w:b w:val="0"/>
          <w:color w:val="1F1923"/>
          <w:sz w:val="22"/>
          <w:szCs w:val="22"/>
          <w:shd w:val="clear" w:color="auto" w:fill="FEFEFE"/>
        </w:rPr>
        <w:t xml:space="preserve">You </w:t>
      </w:r>
      <w:r>
        <w:rPr>
          <w:rFonts w:ascii="Open Sans" w:hAnsi="Open Sans" w:cs="Open Sans"/>
          <w:b w:val="0"/>
          <w:color w:val="1F1923"/>
          <w:sz w:val="22"/>
          <w:szCs w:val="22"/>
          <w:shd w:val="clear" w:color="auto" w:fill="FEFEFE"/>
        </w:rPr>
        <w:t>may choose to include</w:t>
      </w:r>
      <w:r w:rsidRPr="00A83294">
        <w:rPr>
          <w:rFonts w:ascii="Open Sans" w:hAnsi="Open Sans" w:cs="Open Sans"/>
          <w:b w:val="0"/>
          <w:color w:val="1F1923"/>
          <w:sz w:val="22"/>
          <w:szCs w:val="22"/>
          <w:shd w:val="clear" w:color="auto" w:fill="FEFEFE"/>
        </w:rPr>
        <w:t xml:space="preserve"> any, all, or none of the questions. </w:t>
      </w:r>
    </w:p>
    <w:p w:rsidR="007866B9" w:rsidRPr="00625C93" w:rsidRDefault="006E1FBB" w:rsidP="00AE3035">
      <w:pPr>
        <w:pStyle w:val="Heading1"/>
        <w:numPr>
          <w:ilvl w:val="0"/>
          <w:numId w:val="12"/>
        </w:numPr>
        <w:rPr>
          <w:rFonts w:ascii="Open Sans" w:hAnsi="Open Sans" w:cs="Open Sans"/>
          <w:color w:val="1F1923"/>
          <w:sz w:val="22"/>
          <w:szCs w:val="22"/>
          <w:shd w:val="clear" w:color="auto" w:fill="FEFEFE"/>
        </w:rPr>
      </w:pPr>
      <w:r w:rsidRPr="00625C93">
        <w:rPr>
          <w:sz w:val="22"/>
          <w:szCs w:val="22"/>
        </w:rPr>
        <w:t>Thinking about the area/s you worked</w:t>
      </w:r>
      <w:r w:rsidR="00F71010" w:rsidRPr="00625C93">
        <w:rPr>
          <w:sz w:val="22"/>
          <w:szCs w:val="22"/>
        </w:rPr>
        <w:t xml:space="preserve"> in the MPS workplace</w:t>
      </w:r>
      <w:r w:rsidRPr="00625C93">
        <w:rPr>
          <w:sz w:val="22"/>
          <w:szCs w:val="22"/>
        </w:rPr>
        <w:t>, how would you describe the workplace culture</w:t>
      </w:r>
      <w:r w:rsidR="007866B9" w:rsidRPr="00625C93">
        <w:rPr>
          <w:sz w:val="22"/>
          <w:szCs w:val="22"/>
        </w:rPr>
        <w:t>?</w:t>
      </w:r>
    </w:p>
    <w:p w:rsidR="007866B9" w:rsidRPr="00625C93" w:rsidRDefault="00A83294" w:rsidP="00AE3035">
      <w:pPr>
        <w:pStyle w:val="Heading3"/>
        <w:numPr>
          <w:ilvl w:val="0"/>
          <w:numId w:val="12"/>
        </w:numPr>
        <w:rPr>
          <w:sz w:val="22"/>
          <w:szCs w:val="22"/>
        </w:rPr>
      </w:pPr>
      <w:r w:rsidRPr="00625C93">
        <w:rPr>
          <w:rFonts w:eastAsia="Calibri" w:cs="Times New Roman"/>
          <w:sz w:val="22"/>
          <w:szCs w:val="22"/>
        </w:rPr>
        <w:t>I</w:t>
      </w:r>
      <w:r w:rsidR="007866B9" w:rsidRPr="00625C93">
        <w:rPr>
          <w:sz w:val="22"/>
          <w:szCs w:val="22"/>
        </w:rPr>
        <w:t xml:space="preserve">n your opinion, is the MPS workplace a safe working environment? </w:t>
      </w:r>
      <w:r w:rsidR="007866B9" w:rsidRPr="00625C93">
        <w:rPr>
          <w:sz w:val="22"/>
          <w:szCs w:val="22"/>
        </w:rPr>
        <w:br/>
      </w:r>
      <w:r w:rsidR="007866B9" w:rsidRPr="00760F50">
        <w:rPr>
          <w:b w:val="0"/>
          <w:sz w:val="20"/>
        </w:rPr>
        <w:t xml:space="preserve">For this question, it would be helpful to understand why you </w:t>
      </w:r>
      <w:r w:rsidR="005E250E" w:rsidRPr="00760F50">
        <w:rPr>
          <w:b w:val="0"/>
          <w:sz w:val="20"/>
        </w:rPr>
        <w:t>consider</w:t>
      </w:r>
      <w:r w:rsidR="007866B9" w:rsidRPr="00760F50">
        <w:rPr>
          <w:b w:val="0"/>
          <w:sz w:val="20"/>
        </w:rPr>
        <w:t xml:space="preserve"> the enviro</w:t>
      </w:r>
      <w:r w:rsidR="007866B9" w:rsidRPr="00760F50">
        <w:rPr>
          <w:rFonts w:eastAsia="MS Mincho" w:cs="Times New Roman"/>
          <w:b w:val="0"/>
          <w:sz w:val="20"/>
        </w:rPr>
        <w:t xml:space="preserve">nment </w:t>
      </w:r>
      <w:r w:rsidR="005E250E" w:rsidRPr="00760F50">
        <w:rPr>
          <w:rFonts w:eastAsia="MS Mincho" w:cs="Times New Roman"/>
          <w:b w:val="0"/>
          <w:sz w:val="20"/>
        </w:rPr>
        <w:t xml:space="preserve">to be emotionally and/or physically </w:t>
      </w:r>
      <w:r w:rsidR="007866B9" w:rsidRPr="00760F50">
        <w:rPr>
          <w:rFonts w:eastAsia="MS Mincho" w:cs="Times New Roman"/>
          <w:b w:val="0"/>
          <w:sz w:val="20"/>
        </w:rPr>
        <w:t xml:space="preserve">safe or </w:t>
      </w:r>
      <w:r w:rsidR="005E250E" w:rsidRPr="00760F50">
        <w:rPr>
          <w:rFonts w:eastAsia="MS Mincho" w:cs="Times New Roman"/>
          <w:b w:val="0"/>
          <w:sz w:val="20"/>
        </w:rPr>
        <w:t>otherwise</w:t>
      </w:r>
      <w:r w:rsidR="007866B9" w:rsidRPr="00760F50">
        <w:rPr>
          <w:rFonts w:eastAsia="MS Mincho" w:cs="Times New Roman"/>
          <w:b w:val="0"/>
          <w:sz w:val="20"/>
        </w:rPr>
        <w:t>.</w:t>
      </w:r>
    </w:p>
    <w:p w:rsidR="00AE3035" w:rsidRPr="00625C93" w:rsidRDefault="006E1FBB" w:rsidP="00AE3035">
      <w:pPr>
        <w:pStyle w:val="Heading3"/>
        <w:numPr>
          <w:ilvl w:val="0"/>
          <w:numId w:val="12"/>
        </w:numPr>
        <w:rPr>
          <w:sz w:val="22"/>
          <w:szCs w:val="22"/>
        </w:rPr>
      </w:pPr>
      <w:r w:rsidRPr="00625C93">
        <w:rPr>
          <w:sz w:val="22"/>
          <w:szCs w:val="22"/>
        </w:rPr>
        <w:t xml:space="preserve">Do you think changes need to be made to make the MPS workplace a safer working environment? If yes, what changes? </w:t>
      </w:r>
    </w:p>
    <w:p w:rsidR="007866B9" w:rsidRPr="00625C93" w:rsidRDefault="001F2B23" w:rsidP="00AE3035">
      <w:pPr>
        <w:pStyle w:val="Heading3"/>
        <w:numPr>
          <w:ilvl w:val="0"/>
          <w:numId w:val="12"/>
        </w:numPr>
        <w:rPr>
          <w:sz w:val="22"/>
          <w:szCs w:val="22"/>
        </w:rPr>
      </w:pPr>
      <w:r w:rsidRPr="00625C93">
        <w:rPr>
          <w:sz w:val="22"/>
          <w:szCs w:val="22"/>
        </w:rPr>
        <w:t xml:space="preserve">Have you ever </w:t>
      </w:r>
      <w:r w:rsidRPr="00625C93">
        <w:rPr>
          <w:sz w:val="22"/>
          <w:szCs w:val="22"/>
          <w:u w:val="single"/>
        </w:rPr>
        <w:t>experienced</w:t>
      </w:r>
      <w:r w:rsidRPr="00625C93">
        <w:rPr>
          <w:sz w:val="22"/>
          <w:szCs w:val="22"/>
        </w:rPr>
        <w:t xml:space="preserve"> workplace discrimination, sexual harassment or bullying while working in the MPS workplace? </w:t>
      </w:r>
      <w:r w:rsidR="003874AF" w:rsidRPr="00625C93">
        <w:rPr>
          <w:sz w:val="22"/>
          <w:szCs w:val="22"/>
        </w:rPr>
        <w:t xml:space="preserve">If so, what happened? </w:t>
      </w:r>
    </w:p>
    <w:p w:rsidR="00F71010" w:rsidRPr="00625C93" w:rsidRDefault="006E1FBB" w:rsidP="00F71010">
      <w:pPr>
        <w:pStyle w:val="Heading3"/>
        <w:numPr>
          <w:ilvl w:val="0"/>
          <w:numId w:val="12"/>
        </w:numPr>
        <w:rPr>
          <w:sz w:val="22"/>
          <w:szCs w:val="22"/>
        </w:rPr>
      </w:pPr>
      <w:r w:rsidRPr="00625C93">
        <w:rPr>
          <w:sz w:val="22"/>
          <w:szCs w:val="22"/>
        </w:rPr>
        <w:t xml:space="preserve">Have you ever </w:t>
      </w:r>
      <w:r w:rsidRPr="00625C93">
        <w:rPr>
          <w:sz w:val="22"/>
          <w:szCs w:val="22"/>
          <w:u w:val="single"/>
        </w:rPr>
        <w:t>witnessed</w:t>
      </w:r>
      <w:r w:rsidRPr="00625C93">
        <w:rPr>
          <w:sz w:val="22"/>
          <w:szCs w:val="22"/>
        </w:rPr>
        <w:t xml:space="preserve"> workplace discrimination, sexual harassment or bullying while working in the MPS workplace? If so, what </w:t>
      </w:r>
      <w:r w:rsidR="000C306B" w:rsidRPr="00625C93">
        <w:rPr>
          <w:sz w:val="22"/>
          <w:szCs w:val="22"/>
        </w:rPr>
        <w:t>happened?</w:t>
      </w:r>
    </w:p>
    <w:p w:rsidR="00625C93" w:rsidRPr="00625C93" w:rsidRDefault="00E12951" w:rsidP="00625C93">
      <w:pPr>
        <w:pStyle w:val="Heading3"/>
        <w:numPr>
          <w:ilvl w:val="0"/>
          <w:numId w:val="12"/>
        </w:numPr>
        <w:rPr>
          <w:sz w:val="22"/>
          <w:szCs w:val="22"/>
        </w:rPr>
      </w:pPr>
      <w:r w:rsidRPr="00625C93">
        <w:rPr>
          <w:sz w:val="22"/>
          <w:szCs w:val="22"/>
        </w:rPr>
        <w:t xml:space="preserve">Have you ever used a </w:t>
      </w:r>
      <w:r w:rsidRPr="00625C93">
        <w:rPr>
          <w:sz w:val="22"/>
          <w:szCs w:val="22"/>
          <w:u w:val="single"/>
        </w:rPr>
        <w:t>complaint</w:t>
      </w:r>
      <w:r w:rsidRPr="00625C93">
        <w:rPr>
          <w:sz w:val="22"/>
          <w:szCs w:val="22"/>
        </w:rPr>
        <w:t xml:space="preserve"> process in the MPS workplace</w:t>
      </w:r>
      <w:r w:rsidR="00760F50">
        <w:rPr>
          <w:sz w:val="22"/>
          <w:szCs w:val="22"/>
        </w:rPr>
        <w:t xml:space="preserve"> related to workplace discrimination, sexual harassment or bullying</w:t>
      </w:r>
      <w:r w:rsidRPr="00625C93">
        <w:rPr>
          <w:sz w:val="22"/>
          <w:szCs w:val="22"/>
        </w:rPr>
        <w:t xml:space="preserve">? If so, what was your experience of the process and outcome? </w:t>
      </w:r>
    </w:p>
    <w:p w:rsidR="00F71010" w:rsidRPr="00625C93" w:rsidRDefault="00E12951" w:rsidP="00625C93">
      <w:pPr>
        <w:pStyle w:val="Heading3"/>
        <w:numPr>
          <w:ilvl w:val="0"/>
          <w:numId w:val="12"/>
        </w:numPr>
        <w:rPr>
          <w:sz w:val="22"/>
          <w:szCs w:val="22"/>
        </w:rPr>
      </w:pPr>
      <w:r w:rsidRPr="00625C93">
        <w:rPr>
          <w:sz w:val="22"/>
          <w:szCs w:val="22"/>
        </w:rPr>
        <w:t xml:space="preserve">If you wanted to </w:t>
      </w:r>
      <w:r w:rsidRPr="00625C93">
        <w:rPr>
          <w:sz w:val="22"/>
          <w:szCs w:val="22"/>
          <w:u w:val="single"/>
        </w:rPr>
        <w:t>report</w:t>
      </w:r>
      <w:r w:rsidRPr="00625C93">
        <w:rPr>
          <w:sz w:val="22"/>
          <w:szCs w:val="22"/>
        </w:rPr>
        <w:t xml:space="preserve"> workplace discrimination, sexual harassment or bullying,</w:t>
      </w:r>
      <w:r w:rsidR="005E250E" w:rsidRPr="00625C93">
        <w:rPr>
          <w:sz w:val="22"/>
          <w:szCs w:val="22"/>
        </w:rPr>
        <w:t xml:space="preserve"> do you know the internal process</w:t>
      </w:r>
      <w:r w:rsidR="00760F50">
        <w:rPr>
          <w:sz w:val="22"/>
          <w:szCs w:val="22"/>
        </w:rPr>
        <w:t xml:space="preserve"> for</w:t>
      </w:r>
      <w:r w:rsidRPr="00625C93">
        <w:rPr>
          <w:sz w:val="22"/>
          <w:szCs w:val="22"/>
        </w:rPr>
        <w:t xml:space="preserve"> how would you do it? What do you think would happen</w:t>
      </w:r>
      <w:r w:rsidR="00760F50">
        <w:rPr>
          <w:sz w:val="22"/>
          <w:szCs w:val="22"/>
        </w:rPr>
        <w:t xml:space="preserve"> if you made a report</w:t>
      </w:r>
      <w:r w:rsidRPr="00625C93">
        <w:rPr>
          <w:sz w:val="22"/>
          <w:szCs w:val="22"/>
        </w:rPr>
        <w:t xml:space="preserve">? </w:t>
      </w:r>
    </w:p>
    <w:p w:rsidR="00AE3035" w:rsidRPr="00625C93" w:rsidRDefault="00835195" w:rsidP="00625C93">
      <w:pPr>
        <w:pStyle w:val="Heading3"/>
        <w:numPr>
          <w:ilvl w:val="0"/>
          <w:numId w:val="12"/>
        </w:numPr>
        <w:rPr>
          <w:sz w:val="22"/>
          <w:szCs w:val="22"/>
        </w:rPr>
      </w:pPr>
      <w:r w:rsidRPr="00625C93">
        <w:rPr>
          <w:sz w:val="22"/>
          <w:szCs w:val="22"/>
        </w:rPr>
        <w:t xml:space="preserve">What is your perception of the existing </w:t>
      </w:r>
      <w:r w:rsidR="00806911" w:rsidRPr="00625C93">
        <w:rPr>
          <w:sz w:val="22"/>
          <w:szCs w:val="22"/>
        </w:rPr>
        <w:t xml:space="preserve">MPS workplace </w:t>
      </w:r>
      <w:r w:rsidRPr="00625C93">
        <w:rPr>
          <w:sz w:val="22"/>
          <w:szCs w:val="22"/>
        </w:rPr>
        <w:t>policies, procedures and practices</w:t>
      </w:r>
      <w:r w:rsidR="00806911" w:rsidRPr="00625C93">
        <w:rPr>
          <w:sz w:val="22"/>
          <w:szCs w:val="22"/>
        </w:rPr>
        <w:t xml:space="preserve"> for employees who</w:t>
      </w:r>
      <w:r w:rsidRPr="00625C93">
        <w:rPr>
          <w:sz w:val="22"/>
          <w:szCs w:val="22"/>
        </w:rPr>
        <w:t xml:space="preserve"> experience workplace discrimination, </w:t>
      </w:r>
      <w:r w:rsidR="00AE3035" w:rsidRPr="00625C93">
        <w:rPr>
          <w:sz w:val="22"/>
          <w:szCs w:val="22"/>
        </w:rPr>
        <w:t>sexual harassment or bullying?</w:t>
      </w:r>
    </w:p>
    <w:p w:rsidR="00AE3035" w:rsidRPr="00625C93" w:rsidRDefault="00835195" w:rsidP="00AE3035">
      <w:pPr>
        <w:pStyle w:val="ListParagraph"/>
        <w:numPr>
          <w:ilvl w:val="0"/>
          <w:numId w:val="0"/>
        </w:numPr>
        <w:ind w:left="720"/>
        <w:rPr>
          <w:b/>
          <w:sz w:val="22"/>
          <w:szCs w:val="22"/>
        </w:rPr>
      </w:pPr>
      <w:r w:rsidRPr="00AE3035">
        <w:rPr>
          <w:sz w:val="20"/>
          <w:szCs w:val="20"/>
        </w:rPr>
        <w:t>For this question, it would be helpful to understand if you are aware of what policies exist, where to find them, how they are used, and if you think they work.</w:t>
      </w:r>
      <w:r w:rsidR="00AE3035">
        <w:rPr>
          <w:sz w:val="20"/>
          <w:szCs w:val="20"/>
        </w:rPr>
        <w:br/>
      </w:r>
    </w:p>
    <w:p w:rsidR="00AE3035" w:rsidRPr="00625C93" w:rsidRDefault="00835195" w:rsidP="00AE3035">
      <w:pPr>
        <w:pStyle w:val="ListParagraph"/>
        <w:numPr>
          <w:ilvl w:val="0"/>
          <w:numId w:val="12"/>
        </w:numPr>
        <w:rPr>
          <w:b/>
          <w:sz w:val="22"/>
          <w:szCs w:val="22"/>
        </w:rPr>
      </w:pPr>
      <w:r w:rsidRPr="00625C93">
        <w:rPr>
          <w:b/>
          <w:sz w:val="22"/>
          <w:szCs w:val="22"/>
        </w:rPr>
        <w:t>While working in the MPS workplace what was</w:t>
      </w:r>
      <w:r w:rsidR="00E12951" w:rsidRPr="00625C93">
        <w:rPr>
          <w:b/>
          <w:sz w:val="22"/>
          <w:szCs w:val="22"/>
        </w:rPr>
        <w:t>/has been</w:t>
      </w:r>
      <w:r w:rsidRPr="00625C93">
        <w:rPr>
          <w:b/>
          <w:sz w:val="22"/>
          <w:szCs w:val="22"/>
        </w:rPr>
        <w:t xml:space="preserve"> your experience of training related to </w:t>
      </w:r>
      <w:r w:rsidR="00E12951" w:rsidRPr="00625C93">
        <w:rPr>
          <w:b/>
          <w:sz w:val="22"/>
          <w:szCs w:val="22"/>
        </w:rPr>
        <w:t xml:space="preserve">acceptable </w:t>
      </w:r>
      <w:r w:rsidR="00AE3035" w:rsidRPr="00625C93">
        <w:rPr>
          <w:b/>
          <w:sz w:val="22"/>
          <w:szCs w:val="22"/>
        </w:rPr>
        <w:t xml:space="preserve">workplace conduct? </w:t>
      </w:r>
    </w:p>
    <w:p w:rsidR="00E12951" w:rsidRPr="00AE3035" w:rsidRDefault="00835195" w:rsidP="00AE3035">
      <w:pPr>
        <w:pStyle w:val="ListParagraph"/>
        <w:numPr>
          <w:ilvl w:val="0"/>
          <w:numId w:val="0"/>
        </w:numPr>
        <w:ind w:left="720"/>
        <w:rPr>
          <w:b/>
        </w:rPr>
      </w:pPr>
      <w:r w:rsidRPr="00AE3035">
        <w:rPr>
          <w:sz w:val="20"/>
          <w:szCs w:val="20"/>
        </w:rPr>
        <w:t xml:space="preserve">For this question, it would be helpful to understand if you have received training, what the training was about, what you thought of it, and whether you </w:t>
      </w:r>
      <w:r w:rsidR="00EB4133" w:rsidRPr="00AE3035">
        <w:rPr>
          <w:sz w:val="20"/>
          <w:szCs w:val="20"/>
        </w:rPr>
        <w:t>think,</w:t>
      </w:r>
      <w:r w:rsidRPr="00AE3035">
        <w:rPr>
          <w:sz w:val="20"/>
          <w:szCs w:val="20"/>
        </w:rPr>
        <w:t xml:space="preserve"> it makes a difference to the way people behave. </w:t>
      </w:r>
      <w:r w:rsidR="00AE3035">
        <w:rPr>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6730"/>
      </w:tblGrid>
      <w:tr w:rsidR="00E12951" w:rsidRPr="0028383F" w:rsidTr="00280A77">
        <w:trPr>
          <w:trHeight w:val="598"/>
        </w:trPr>
        <w:tc>
          <w:tcPr>
            <w:tcW w:w="2296" w:type="dxa"/>
            <w:tcBorders>
              <w:bottom w:val="single" w:sz="4" w:space="0" w:color="auto"/>
            </w:tcBorders>
          </w:tcPr>
          <w:p w:rsidR="00E12951" w:rsidRPr="00EA74CB" w:rsidRDefault="00E12951" w:rsidP="00EA74CB">
            <w:pPr>
              <w:pStyle w:val="Heading2"/>
              <w:outlineLvl w:val="1"/>
              <w:rPr>
                <w:color w:val="004F50"/>
              </w:rPr>
            </w:pPr>
            <w:r w:rsidRPr="00EA74CB">
              <w:rPr>
                <w:color w:val="004F50"/>
              </w:rPr>
              <w:lastRenderedPageBreak/>
              <w:t>Term</w:t>
            </w:r>
          </w:p>
        </w:tc>
        <w:tc>
          <w:tcPr>
            <w:tcW w:w="6730" w:type="dxa"/>
            <w:tcBorders>
              <w:bottom w:val="single" w:sz="4" w:space="0" w:color="auto"/>
            </w:tcBorders>
          </w:tcPr>
          <w:p w:rsidR="00E12951" w:rsidRPr="00EA74CB" w:rsidRDefault="00E12951" w:rsidP="00EA74CB">
            <w:pPr>
              <w:pStyle w:val="Heading2"/>
              <w:outlineLvl w:val="1"/>
              <w:rPr>
                <w:color w:val="004F50"/>
              </w:rPr>
            </w:pPr>
            <w:r w:rsidRPr="00EA74CB">
              <w:rPr>
                <w:color w:val="004F50"/>
              </w:rPr>
              <w:t>Definition</w:t>
            </w:r>
          </w:p>
        </w:tc>
      </w:tr>
      <w:tr w:rsidR="00E12951" w:rsidRPr="00547E23" w:rsidTr="00280A77">
        <w:trPr>
          <w:trHeight w:val="586"/>
        </w:trPr>
        <w:tc>
          <w:tcPr>
            <w:tcW w:w="2296"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Workplace bullying</w:t>
            </w:r>
          </w:p>
        </w:tc>
        <w:tc>
          <w:tcPr>
            <w:tcW w:w="6730"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repeated and unreasonable behaviour directed towards a worker or a group of workers that creates a risk to health and safety as defined by Worksafe Tasmania.</w:t>
            </w:r>
          </w:p>
        </w:tc>
      </w:tr>
      <w:tr w:rsidR="00E12951" w:rsidRPr="00EE6DCD" w:rsidTr="00280A77">
        <w:trPr>
          <w:trHeight w:val="713"/>
        </w:trPr>
        <w:tc>
          <w:tcPr>
            <w:tcW w:w="2296"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Workplace discrimination</w:t>
            </w:r>
          </w:p>
        </w:tc>
        <w:tc>
          <w:tcPr>
            <w:tcW w:w="6730"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 xml:space="preserve">(including discrimination, prohibited conduct and victimisation) as defined in the </w:t>
            </w:r>
            <w:r w:rsidRPr="00EA74CB">
              <w:rPr>
                <w:i/>
                <w:sz w:val="22"/>
                <w:szCs w:val="22"/>
              </w:rPr>
              <w:t>Anti-Discrimination Act 1998</w:t>
            </w:r>
            <w:r w:rsidRPr="00EA74CB">
              <w:rPr>
                <w:sz w:val="22"/>
                <w:szCs w:val="22"/>
              </w:rPr>
              <w:t xml:space="preserve"> with particular reference to sections 14 – 18 inclusive.</w:t>
            </w:r>
          </w:p>
        </w:tc>
      </w:tr>
      <w:tr w:rsidR="00E12951" w:rsidRPr="00EE6DCD" w:rsidTr="00280A77">
        <w:trPr>
          <w:trHeight w:val="586"/>
        </w:trPr>
        <w:tc>
          <w:tcPr>
            <w:tcW w:w="2296"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Workplace sexual harassment</w:t>
            </w:r>
          </w:p>
        </w:tc>
        <w:tc>
          <w:tcPr>
            <w:tcW w:w="6730"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sexual harassment as defined in the </w:t>
            </w:r>
            <w:r w:rsidRPr="00EA74CB">
              <w:rPr>
                <w:i/>
                <w:iCs/>
                <w:sz w:val="22"/>
                <w:szCs w:val="22"/>
              </w:rPr>
              <w:t>Anti-Discrimination Act 1998</w:t>
            </w:r>
            <w:r w:rsidRPr="00EA74CB">
              <w:rPr>
                <w:sz w:val="22"/>
                <w:szCs w:val="22"/>
              </w:rPr>
              <w:t> (Tas).</w:t>
            </w:r>
          </w:p>
        </w:tc>
      </w:tr>
      <w:tr w:rsidR="00E12951" w:rsidRPr="00EE6DCD" w:rsidTr="00280A77">
        <w:trPr>
          <w:trHeight w:val="586"/>
        </w:trPr>
        <w:tc>
          <w:tcPr>
            <w:tcW w:w="2296"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Ministerial and Parliamentary Services (MPS) workplace</w:t>
            </w:r>
          </w:p>
          <w:p w:rsidR="00E12951" w:rsidRPr="00EA74CB" w:rsidRDefault="00E12951" w:rsidP="00E12951">
            <w:pPr>
              <w:pStyle w:val="BodyText"/>
              <w:rPr>
                <w:sz w:val="22"/>
                <w:szCs w:val="22"/>
              </w:rPr>
            </w:pPr>
          </w:p>
        </w:tc>
        <w:tc>
          <w:tcPr>
            <w:tcW w:w="6730"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the workplace includes all members of parliament, and the people working (in whatever capacity) in or for Parliament House, electorate offices and Ministers’ offices. It also encompasses regularly contracted services including security, catering and cleaning staff. The scope of workplace extends to include work related travel and events.</w:t>
            </w:r>
          </w:p>
        </w:tc>
      </w:tr>
      <w:tr w:rsidR="00E12951" w:rsidRPr="00EE6DCD" w:rsidTr="00280A77">
        <w:trPr>
          <w:trHeight w:val="586"/>
        </w:trPr>
        <w:tc>
          <w:tcPr>
            <w:tcW w:w="2296"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Review participants</w:t>
            </w:r>
          </w:p>
        </w:tc>
        <w:tc>
          <w:tcPr>
            <w:tcW w:w="6730" w:type="dxa"/>
            <w:tcBorders>
              <w:top w:val="single" w:sz="4" w:space="0" w:color="auto"/>
              <w:bottom w:val="single" w:sz="4" w:space="0" w:color="auto"/>
            </w:tcBorders>
          </w:tcPr>
          <w:p w:rsidR="00E12951" w:rsidRPr="00EA74CB" w:rsidRDefault="00E12951" w:rsidP="00E12951">
            <w:pPr>
              <w:pStyle w:val="BodyText"/>
              <w:rPr>
                <w:sz w:val="22"/>
                <w:szCs w:val="22"/>
              </w:rPr>
            </w:pPr>
            <w:r w:rsidRPr="00EA74CB">
              <w:rPr>
                <w:sz w:val="22"/>
                <w:szCs w:val="22"/>
              </w:rPr>
              <w:br/>
              <w:t>current and former staff and employees for the period 1 July 2019 to present (2022).</w:t>
            </w:r>
          </w:p>
        </w:tc>
      </w:tr>
    </w:tbl>
    <w:p w:rsidR="0098182C" w:rsidRDefault="0098182C"/>
    <w:p w:rsidR="008E59CE" w:rsidRPr="008E59CE" w:rsidRDefault="00E732E9" w:rsidP="00794D9C">
      <w:pPr>
        <w:rPr>
          <w:rFonts w:cs="Arial"/>
          <w:color w:val="1F1923"/>
          <w:sz w:val="22"/>
          <w:szCs w:val="22"/>
          <w:shd w:val="clear" w:color="auto" w:fill="FEFEFE"/>
        </w:rPr>
      </w:pPr>
      <w:r w:rsidRPr="00EA74CB">
        <w:rPr>
          <w:rFonts w:cs="Arial"/>
          <w:color w:val="1F1923"/>
          <w:sz w:val="22"/>
          <w:szCs w:val="22"/>
          <w:shd w:val="clear" w:color="auto" w:fill="FEFEFE"/>
        </w:rPr>
        <w:t>Thank you</w:t>
      </w:r>
      <w:r w:rsidR="005E250E" w:rsidRPr="00EA74CB">
        <w:rPr>
          <w:rFonts w:cs="Arial"/>
          <w:color w:val="1F1923"/>
          <w:sz w:val="22"/>
          <w:szCs w:val="22"/>
          <w:shd w:val="clear" w:color="auto" w:fill="FEFEFE"/>
        </w:rPr>
        <w:t>, in advance,</w:t>
      </w:r>
      <w:r w:rsidRPr="00EA74CB">
        <w:rPr>
          <w:rFonts w:cs="Arial"/>
          <w:color w:val="1F1923"/>
          <w:sz w:val="22"/>
          <w:szCs w:val="22"/>
          <w:shd w:val="clear" w:color="auto" w:fill="FEFEFE"/>
        </w:rPr>
        <w:t xml:space="preserve"> for your submission to the Review. Your contribution is important and assists in creating recommendations for action</w:t>
      </w:r>
      <w:r w:rsidR="00EA74CB">
        <w:rPr>
          <w:rFonts w:cs="Arial"/>
          <w:color w:val="1F1923"/>
          <w:sz w:val="22"/>
          <w:szCs w:val="22"/>
          <w:shd w:val="clear" w:color="auto" w:fill="FEFEFE"/>
        </w:rPr>
        <w:t>,</w:t>
      </w:r>
      <w:r w:rsidRPr="00EA74CB">
        <w:rPr>
          <w:rFonts w:cs="Arial"/>
          <w:color w:val="1F1923"/>
          <w:sz w:val="22"/>
          <w:szCs w:val="22"/>
          <w:shd w:val="clear" w:color="auto" w:fill="FEFEFE"/>
        </w:rPr>
        <w:t xml:space="preserve"> which will shape the MPS workplace into the future, ensuring it is safe and respectful. </w:t>
      </w:r>
    </w:p>
    <w:p w:rsidR="00E732E9" w:rsidRPr="00EA74CB" w:rsidRDefault="005E250E" w:rsidP="00794D9C">
      <w:pPr>
        <w:rPr>
          <w:rFonts w:cs="Arial"/>
          <w:color w:val="1F1923"/>
          <w:sz w:val="22"/>
          <w:szCs w:val="22"/>
          <w:shd w:val="clear" w:color="auto" w:fill="FEFEFE"/>
        </w:rPr>
      </w:pPr>
      <w:r w:rsidRPr="00EA74CB">
        <w:rPr>
          <w:rFonts w:cs="Arial"/>
          <w:color w:val="1F1923"/>
          <w:sz w:val="22"/>
          <w:szCs w:val="22"/>
          <w:shd w:val="clear" w:color="auto" w:fill="FEFEFE"/>
        </w:rPr>
        <w:t>U</w:t>
      </w:r>
      <w:r w:rsidR="000B238B" w:rsidRPr="00EA74CB">
        <w:rPr>
          <w:rFonts w:cs="Arial"/>
          <w:color w:val="1F1923"/>
          <w:sz w:val="22"/>
          <w:szCs w:val="22"/>
          <w:shd w:val="clear" w:color="auto" w:fill="FEFEFE"/>
        </w:rPr>
        <w:t xml:space="preserve">pdates related to </w:t>
      </w:r>
      <w:r w:rsidR="00E732E9" w:rsidRPr="00EA74CB">
        <w:rPr>
          <w:rFonts w:cs="Arial"/>
          <w:color w:val="1F1923"/>
          <w:sz w:val="22"/>
          <w:szCs w:val="22"/>
          <w:shd w:val="clear" w:color="auto" w:fill="FEFEFE"/>
        </w:rPr>
        <w:t xml:space="preserve">the Review </w:t>
      </w:r>
      <w:r w:rsidRPr="00EA74CB">
        <w:rPr>
          <w:rFonts w:cs="Arial"/>
          <w:color w:val="1F1923"/>
          <w:sz w:val="22"/>
          <w:szCs w:val="22"/>
          <w:shd w:val="clear" w:color="auto" w:fill="FEFEFE"/>
        </w:rPr>
        <w:t xml:space="preserve">can be found </w:t>
      </w:r>
      <w:r w:rsidR="00E732E9" w:rsidRPr="00EA74CB">
        <w:rPr>
          <w:rFonts w:cs="Arial"/>
          <w:color w:val="1F1923"/>
          <w:sz w:val="22"/>
          <w:szCs w:val="22"/>
          <w:shd w:val="clear" w:color="auto" w:fill="FEFEFE"/>
        </w:rPr>
        <w:t xml:space="preserve">on </w:t>
      </w:r>
      <w:hyperlink r:id="rId11" w:history="1">
        <w:r w:rsidR="00E732E9" w:rsidRPr="00EA74CB">
          <w:rPr>
            <w:rStyle w:val="Hyperlink"/>
            <w:rFonts w:cs="Arial"/>
            <w:sz w:val="22"/>
            <w:szCs w:val="22"/>
            <w:shd w:val="clear" w:color="auto" w:fill="FEFEFE"/>
          </w:rPr>
          <w:t>www.equalopportunity.tas.gov.au</w:t>
        </w:r>
      </w:hyperlink>
      <w:r w:rsidR="00E732E9" w:rsidRPr="00EA74CB">
        <w:rPr>
          <w:rFonts w:cs="Arial"/>
          <w:color w:val="1F1923"/>
          <w:sz w:val="22"/>
          <w:szCs w:val="22"/>
          <w:shd w:val="clear" w:color="auto" w:fill="FEFEFE"/>
        </w:rPr>
        <w:t xml:space="preserve">. </w:t>
      </w:r>
    </w:p>
    <w:p w:rsidR="00A83294" w:rsidRDefault="00A83294" w:rsidP="00794D9C">
      <w:pPr>
        <w:rPr>
          <w:rFonts w:ascii="Open Sans" w:hAnsi="Open Sans" w:cs="Open Sans"/>
          <w:color w:val="1F1923"/>
          <w:sz w:val="22"/>
          <w:szCs w:val="22"/>
          <w:shd w:val="clear" w:color="auto" w:fill="FEFEFE"/>
        </w:rPr>
      </w:pPr>
    </w:p>
    <w:sectPr w:rsidR="00A83294" w:rsidSect="008E59CE">
      <w:headerReference w:type="default" r:id="rId12"/>
      <w:footerReference w:type="even" r:id="rId13"/>
      <w:footerReference w:type="default" r:id="rId14"/>
      <w:headerReference w:type="first" r:id="rId15"/>
      <w:footerReference w:type="first" r:id="rId16"/>
      <w:pgSz w:w="11906" w:h="16838" w:code="9"/>
      <w:pgMar w:top="1092" w:right="1985" w:bottom="2126" w:left="851" w:header="510"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1E" w:rsidRDefault="00492B1E" w:rsidP="003874AF">
      <w:pPr>
        <w:spacing w:after="0" w:line="240" w:lineRule="auto"/>
      </w:pPr>
      <w:r>
        <w:separator/>
      </w:r>
    </w:p>
  </w:endnote>
  <w:endnote w:type="continuationSeparator" w:id="0">
    <w:p w:rsidR="00492B1E" w:rsidRDefault="00492B1E" w:rsidP="0038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852946"/>
      <w:docPartObj>
        <w:docPartGallery w:val="Page Numbers (Bottom of Page)"/>
        <w:docPartUnique/>
      </w:docPartObj>
    </w:sdtPr>
    <w:sdtEndPr>
      <w:rPr>
        <w:color w:val="7F7F7F" w:themeColor="background1" w:themeShade="7F"/>
        <w:spacing w:val="60"/>
      </w:rPr>
    </w:sdtEndPr>
    <w:sdtContent>
      <w:p w:rsidR="00AE3035" w:rsidRDefault="00AE30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2F9A">
          <w:rPr>
            <w:noProof/>
          </w:rPr>
          <w:t>- 2 -</w:t>
        </w:r>
        <w:r>
          <w:rPr>
            <w:noProof/>
          </w:rPr>
          <w:fldChar w:fldCharType="end"/>
        </w:r>
        <w:r>
          <w:t xml:space="preserve"> | </w:t>
        </w:r>
        <w:r>
          <w:rPr>
            <w:color w:val="7F7F7F" w:themeColor="background1" w:themeShade="7F"/>
            <w:spacing w:val="60"/>
          </w:rPr>
          <w:t>Page</w:t>
        </w:r>
      </w:p>
    </w:sdtContent>
  </w:sdt>
  <w:p w:rsidR="00AE3035" w:rsidRDefault="00AE3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6380"/>
      <w:docPartObj>
        <w:docPartGallery w:val="Page Numbers (Bottom of Page)"/>
        <w:docPartUnique/>
      </w:docPartObj>
    </w:sdtPr>
    <w:sdtEndPr>
      <w:rPr>
        <w:noProof/>
      </w:rPr>
    </w:sdtEndPr>
    <w:sdtContent>
      <w:p w:rsidR="00F63BB2" w:rsidRPr="00F63BB2" w:rsidRDefault="009E0094" w:rsidP="00F63BB2">
        <w:pPr>
          <w:pStyle w:val="Footer"/>
          <w:spacing w:after="40"/>
        </w:pPr>
        <w:r w:rsidRPr="007118CB">
          <w:rPr>
            <w:b/>
            <w:color w:val="CC1982"/>
            <w:sz w:val="20"/>
            <w:szCs w:val="20"/>
          </w:rPr>
          <w:t>Equal Opportunity Tasmania</w:t>
        </w:r>
      </w:p>
      <w:p w:rsidR="00F63BB2" w:rsidRPr="007118CB" w:rsidRDefault="009E0094" w:rsidP="00F63BB2">
        <w:pPr>
          <w:pStyle w:val="Footer"/>
          <w:spacing w:after="40"/>
          <w:rPr>
            <w:color w:val="004F50"/>
            <w:sz w:val="20"/>
            <w:szCs w:val="20"/>
          </w:rPr>
        </w:pPr>
        <w:r w:rsidRPr="007118CB">
          <w:rPr>
            <w:b/>
            <w:color w:val="004F50"/>
            <w:sz w:val="20"/>
            <w:szCs w:val="20"/>
          </w:rPr>
          <w:t>Phone:</w:t>
        </w:r>
        <w:r w:rsidRPr="007118CB">
          <w:rPr>
            <w:color w:val="004F50"/>
            <w:sz w:val="20"/>
            <w:szCs w:val="20"/>
          </w:rPr>
          <w:t xml:space="preserve"> 1300 305 062 (in Tasmania) or (03) 6165 7515</w:t>
        </w:r>
      </w:p>
      <w:p w:rsidR="00F63BB2" w:rsidRPr="007118CB" w:rsidRDefault="009E0094" w:rsidP="00F63BB2">
        <w:pPr>
          <w:pStyle w:val="Footer"/>
          <w:spacing w:after="40"/>
          <w:rPr>
            <w:color w:val="004F50"/>
            <w:sz w:val="20"/>
            <w:szCs w:val="20"/>
          </w:rPr>
        </w:pPr>
        <w:r w:rsidRPr="007118CB">
          <w:rPr>
            <w:b/>
            <w:color w:val="004F50"/>
            <w:sz w:val="20"/>
            <w:szCs w:val="20"/>
          </w:rPr>
          <w:t>E-mail:</w:t>
        </w:r>
        <w:r w:rsidRPr="007118CB">
          <w:rPr>
            <w:color w:val="004F50"/>
            <w:sz w:val="20"/>
            <w:szCs w:val="20"/>
          </w:rPr>
          <w:t xml:space="preserve"> </w:t>
        </w:r>
        <w:r w:rsidR="00F71010">
          <w:rPr>
            <w:color w:val="004F50"/>
            <w:sz w:val="20"/>
            <w:szCs w:val="20"/>
          </w:rPr>
          <w:t>MPSReview</w:t>
        </w:r>
        <w:r w:rsidRPr="007118CB">
          <w:rPr>
            <w:color w:val="004F50"/>
            <w:sz w:val="20"/>
            <w:szCs w:val="20"/>
          </w:rPr>
          <w:t>@equalopportunity.tas.gov.au</w:t>
        </w:r>
      </w:p>
      <w:p w:rsidR="00F63BB2" w:rsidRPr="007118CB" w:rsidRDefault="009E0094" w:rsidP="00F63BB2">
        <w:pPr>
          <w:pStyle w:val="Footer"/>
          <w:spacing w:after="40"/>
          <w:rPr>
            <w:color w:val="004F50"/>
            <w:sz w:val="20"/>
            <w:szCs w:val="20"/>
          </w:rPr>
        </w:pPr>
        <w:r w:rsidRPr="007118CB">
          <w:rPr>
            <w:b/>
            <w:color w:val="004F50"/>
            <w:sz w:val="20"/>
            <w:szCs w:val="20"/>
          </w:rPr>
          <w:t>Office:</w:t>
        </w:r>
        <w:r w:rsidRPr="007118CB">
          <w:rPr>
            <w:color w:val="004F50"/>
            <w:sz w:val="20"/>
            <w:szCs w:val="20"/>
          </w:rPr>
          <w:t xml:space="preserve"> Level 1, 54 Victoria St, Hobart TAS 7000</w:t>
        </w:r>
      </w:p>
      <w:p w:rsidR="00F63BB2" w:rsidRPr="007118CB" w:rsidRDefault="009E0094" w:rsidP="00F63BB2">
        <w:pPr>
          <w:pStyle w:val="Footer"/>
          <w:spacing w:after="40"/>
          <w:rPr>
            <w:color w:val="004F50"/>
            <w:sz w:val="20"/>
            <w:szCs w:val="20"/>
          </w:rPr>
        </w:pPr>
        <w:r w:rsidRPr="007118CB">
          <w:rPr>
            <w:b/>
            <w:color w:val="004F50"/>
            <w:sz w:val="20"/>
            <w:szCs w:val="20"/>
          </w:rPr>
          <w:t>Post:</w:t>
        </w:r>
        <w:r w:rsidRPr="007118CB">
          <w:rPr>
            <w:color w:val="004F50"/>
            <w:sz w:val="20"/>
            <w:szCs w:val="20"/>
          </w:rPr>
          <w:t xml:space="preserve"> </w:t>
        </w:r>
        <w:r w:rsidR="00F71010">
          <w:rPr>
            <w:color w:val="004F50"/>
            <w:sz w:val="20"/>
            <w:szCs w:val="20"/>
          </w:rPr>
          <w:t xml:space="preserve">MPS Review, </w:t>
        </w:r>
        <w:r w:rsidRPr="007118CB">
          <w:rPr>
            <w:color w:val="004F50"/>
            <w:sz w:val="20"/>
            <w:szCs w:val="20"/>
          </w:rPr>
          <w:t>GPO Box 197, Hobart TAS 7001</w:t>
        </w:r>
        <w:r>
          <w:rPr>
            <w:color w:val="004F50"/>
            <w:sz w:val="20"/>
            <w:szCs w:val="20"/>
          </w:rPr>
          <w:br/>
        </w:r>
      </w:p>
      <w:p w:rsidR="00AC5608" w:rsidRPr="00C81FB9" w:rsidRDefault="009E0094" w:rsidP="00C81FB9">
        <w:pPr>
          <w:pStyle w:val="Footer"/>
          <w:rPr>
            <w:b/>
            <w:color w:val="004F50"/>
            <w:sz w:val="20"/>
            <w:szCs w:val="20"/>
          </w:rPr>
        </w:pPr>
        <w:r w:rsidRPr="007118CB">
          <w:rPr>
            <w:b/>
            <w:color w:val="004F50"/>
            <w:sz w:val="20"/>
            <w:szCs w:val="20"/>
          </w:rPr>
          <w:t>www.equalopportunity.tas.gov.au</w:t>
        </w:r>
      </w:p>
    </w:sdtContent>
  </w:sdt>
  <w:p w:rsidR="00AC5608" w:rsidRDefault="00492B1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D" w:rsidRDefault="009E0094" w:rsidP="00B3045E">
    <w:pPr>
      <w:pStyle w:val="Footer"/>
      <w:spacing w:after="0"/>
      <w:ind w:left="-142"/>
    </w:pPr>
    <w:r>
      <w:rPr>
        <w:noProof/>
        <w:lang w:eastAsia="en-AU"/>
      </w:rPr>
      <w:drawing>
        <wp:inline distT="0" distB="0" distL="0" distR="0" wp14:anchorId="75590B03" wp14:editId="74086C72">
          <wp:extent cx="1710690" cy="613410"/>
          <wp:effectExtent l="0" t="0" r="3810" b="0"/>
          <wp:docPr id="12" name="Picture 12" descr="Celebrating Difference Embracing Equality" title="Letterhead footer"/>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613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1E" w:rsidRDefault="00492B1E" w:rsidP="003874AF">
      <w:pPr>
        <w:spacing w:after="0" w:line="240" w:lineRule="auto"/>
      </w:pPr>
      <w:r>
        <w:separator/>
      </w:r>
    </w:p>
  </w:footnote>
  <w:footnote w:type="continuationSeparator" w:id="0">
    <w:p w:rsidR="00492B1E" w:rsidRDefault="00492B1E" w:rsidP="0038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8D" w:rsidRDefault="00796C8D">
    <w:r>
      <w:rPr>
        <w:noProof/>
        <w:lang w:eastAsia="en-AU"/>
      </w:rPr>
      <w:drawing>
        <wp:inline distT="0" distB="0" distL="0" distR="0" wp14:anchorId="25AFA8A0" wp14:editId="5EE4CAA7">
          <wp:extent cx="4792564" cy="901976"/>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0221" cy="9052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E2" w:rsidRPr="00816CBD" w:rsidRDefault="009E0094" w:rsidP="006C0F68">
    <w:pPr>
      <w:pStyle w:val="Header"/>
      <w:spacing w:after="0"/>
      <w:ind w:left="-851"/>
    </w:pPr>
    <w:r>
      <w:rPr>
        <w:noProof/>
        <w:lang w:eastAsia="en-AU"/>
      </w:rPr>
      <w:drawing>
        <wp:inline distT="0" distB="0" distL="0" distR="0" wp14:anchorId="2B825B94" wp14:editId="43001601">
          <wp:extent cx="7560000" cy="1945915"/>
          <wp:effectExtent l="0" t="0" r="3175" b="0"/>
          <wp:docPr id="11" name="Picture 11" descr="Equal Opportunity Tasmania&#10;Phone: 1300 305 062 (in Tasmania) or (03) 6165 7515&#10;E-mail: office@equalopportunity.tas.gov.au&#10;Office: Level 1, 54 Victoria St, Hobart TAS 7000&#10;Post: GPO Box 197, HOBART  TAS  7001&#10;www.equalopportunity.tas.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6F7C"/>
    <w:multiLevelType w:val="hybridMultilevel"/>
    <w:tmpl w:val="5380AB10"/>
    <w:lvl w:ilvl="0" w:tplc="A2C4BBF0">
      <w:start w:val="1"/>
      <w:numFmt w:val="bullet"/>
      <w:lvlText w:val=""/>
      <w:lvlJc w:val="left"/>
      <w:pPr>
        <w:ind w:left="720" w:hanging="360"/>
      </w:pPr>
      <w:rPr>
        <w:rFonts w:ascii="Symbol" w:hAnsi="Symbol" w:hint="default"/>
      </w:rPr>
    </w:lvl>
    <w:lvl w:ilvl="1" w:tplc="95127B62">
      <w:start w:val="1"/>
      <w:numFmt w:val="bullet"/>
      <w:lvlText w:val="o"/>
      <w:lvlJc w:val="left"/>
      <w:pPr>
        <w:ind w:left="1440" w:hanging="360"/>
      </w:pPr>
      <w:rPr>
        <w:rFonts w:ascii="Courier New" w:hAnsi="Courier New" w:cs="Courier New" w:hint="default"/>
      </w:rPr>
    </w:lvl>
    <w:lvl w:ilvl="2" w:tplc="EE304D76" w:tentative="1">
      <w:start w:val="1"/>
      <w:numFmt w:val="bullet"/>
      <w:lvlText w:val=""/>
      <w:lvlJc w:val="left"/>
      <w:pPr>
        <w:ind w:left="2160" w:hanging="360"/>
      </w:pPr>
      <w:rPr>
        <w:rFonts w:ascii="Wingdings" w:hAnsi="Wingdings" w:hint="default"/>
      </w:rPr>
    </w:lvl>
    <w:lvl w:ilvl="3" w:tplc="414A41CC" w:tentative="1">
      <w:start w:val="1"/>
      <w:numFmt w:val="bullet"/>
      <w:lvlText w:val=""/>
      <w:lvlJc w:val="left"/>
      <w:pPr>
        <w:ind w:left="2880" w:hanging="360"/>
      </w:pPr>
      <w:rPr>
        <w:rFonts w:ascii="Symbol" w:hAnsi="Symbol" w:hint="default"/>
      </w:rPr>
    </w:lvl>
    <w:lvl w:ilvl="4" w:tplc="90184BC2" w:tentative="1">
      <w:start w:val="1"/>
      <w:numFmt w:val="bullet"/>
      <w:lvlText w:val="o"/>
      <w:lvlJc w:val="left"/>
      <w:pPr>
        <w:ind w:left="3600" w:hanging="360"/>
      </w:pPr>
      <w:rPr>
        <w:rFonts w:ascii="Courier New" w:hAnsi="Courier New" w:cs="Courier New" w:hint="default"/>
      </w:rPr>
    </w:lvl>
    <w:lvl w:ilvl="5" w:tplc="C9D45262" w:tentative="1">
      <w:start w:val="1"/>
      <w:numFmt w:val="bullet"/>
      <w:lvlText w:val=""/>
      <w:lvlJc w:val="left"/>
      <w:pPr>
        <w:ind w:left="4320" w:hanging="360"/>
      </w:pPr>
      <w:rPr>
        <w:rFonts w:ascii="Wingdings" w:hAnsi="Wingdings" w:hint="default"/>
      </w:rPr>
    </w:lvl>
    <w:lvl w:ilvl="6" w:tplc="151E6752" w:tentative="1">
      <w:start w:val="1"/>
      <w:numFmt w:val="bullet"/>
      <w:lvlText w:val=""/>
      <w:lvlJc w:val="left"/>
      <w:pPr>
        <w:ind w:left="5040" w:hanging="360"/>
      </w:pPr>
      <w:rPr>
        <w:rFonts w:ascii="Symbol" w:hAnsi="Symbol" w:hint="default"/>
      </w:rPr>
    </w:lvl>
    <w:lvl w:ilvl="7" w:tplc="2A685CB2" w:tentative="1">
      <w:start w:val="1"/>
      <w:numFmt w:val="bullet"/>
      <w:lvlText w:val="o"/>
      <w:lvlJc w:val="left"/>
      <w:pPr>
        <w:ind w:left="5760" w:hanging="360"/>
      </w:pPr>
      <w:rPr>
        <w:rFonts w:ascii="Courier New" w:hAnsi="Courier New" w:cs="Courier New" w:hint="default"/>
      </w:rPr>
    </w:lvl>
    <w:lvl w:ilvl="8" w:tplc="9B522906" w:tentative="1">
      <w:start w:val="1"/>
      <w:numFmt w:val="bullet"/>
      <w:lvlText w:val=""/>
      <w:lvlJc w:val="left"/>
      <w:pPr>
        <w:ind w:left="6480" w:hanging="360"/>
      </w:pPr>
      <w:rPr>
        <w:rFonts w:ascii="Wingdings" w:hAnsi="Wingdings" w:hint="default"/>
      </w:rPr>
    </w:lvl>
  </w:abstractNum>
  <w:abstractNum w:abstractNumId="1" w15:restartNumberingAfterBreak="0">
    <w:nsid w:val="32620D5B"/>
    <w:multiLevelType w:val="hybridMultilevel"/>
    <w:tmpl w:val="50FA1588"/>
    <w:lvl w:ilvl="0" w:tplc="0C090001">
      <w:numFmt w:val="bullet"/>
      <w:pStyle w:val="ListParagraph"/>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F2C90"/>
    <w:multiLevelType w:val="hybridMultilevel"/>
    <w:tmpl w:val="94A06B32"/>
    <w:lvl w:ilvl="0" w:tplc="45007E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8B1194"/>
    <w:multiLevelType w:val="hybridMultilevel"/>
    <w:tmpl w:val="29F612CE"/>
    <w:lvl w:ilvl="0" w:tplc="0C09000F">
      <w:start w:val="1"/>
      <w:numFmt w:val="decimal"/>
      <w:lvlText w:val="%1."/>
      <w:lvlJc w:val="left"/>
      <w:pPr>
        <w:ind w:left="873" w:hanging="360"/>
      </w:p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4" w15:restartNumberingAfterBreak="0">
    <w:nsid w:val="43E72B60"/>
    <w:multiLevelType w:val="hybridMultilevel"/>
    <w:tmpl w:val="459E5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3C2110"/>
    <w:multiLevelType w:val="hybridMultilevel"/>
    <w:tmpl w:val="3EEC5848"/>
    <w:lvl w:ilvl="0" w:tplc="9D5C6278">
      <w:start w:val="1"/>
      <w:numFmt w:val="bullet"/>
      <w:lvlText w:val=""/>
      <w:lvlJc w:val="left"/>
      <w:pPr>
        <w:ind w:left="720" w:hanging="360"/>
      </w:pPr>
      <w:rPr>
        <w:rFonts w:ascii="Symbol" w:hAnsi="Symbol" w:hint="default"/>
      </w:rPr>
    </w:lvl>
    <w:lvl w:ilvl="1" w:tplc="17A42FD4" w:tentative="1">
      <w:start w:val="1"/>
      <w:numFmt w:val="bullet"/>
      <w:lvlText w:val="o"/>
      <w:lvlJc w:val="left"/>
      <w:pPr>
        <w:ind w:left="1440" w:hanging="360"/>
      </w:pPr>
      <w:rPr>
        <w:rFonts w:ascii="Courier New" w:hAnsi="Courier New" w:cs="Courier New" w:hint="default"/>
      </w:rPr>
    </w:lvl>
    <w:lvl w:ilvl="2" w:tplc="44B41E26" w:tentative="1">
      <w:start w:val="1"/>
      <w:numFmt w:val="bullet"/>
      <w:lvlText w:val=""/>
      <w:lvlJc w:val="left"/>
      <w:pPr>
        <w:ind w:left="2160" w:hanging="360"/>
      </w:pPr>
      <w:rPr>
        <w:rFonts w:ascii="Wingdings" w:hAnsi="Wingdings" w:hint="default"/>
      </w:rPr>
    </w:lvl>
    <w:lvl w:ilvl="3" w:tplc="E228C26C" w:tentative="1">
      <w:start w:val="1"/>
      <w:numFmt w:val="bullet"/>
      <w:lvlText w:val=""/>
      <w:lvlJc w:val="left"/>
      <w:pPr>
        <w:ind w:left="2880" w:hanging="360"/>
      </w:pPr>
      <w:rPr>
        <w:rFonts w:ascii="Symbol" w:hAnsi="Symbol" w:hint="default"/>
      </w:rPr>
    </w:lvl>
    <w:lvl w:ilvl="4" w:tplc="50BCBC10" w:tentative="1">
      <w:start w:val="1"/>
      <w:numFmt w:val="bullet"/>
      <w:lvlText w:val="o"/>
      <w:lvlJc w:val="left"/>
      <w:pPr>
        <w:ind w:left="3600" w:hanging="360"/>
      </w:pPr>
      <w:rPr>
        <w:rFonts w:ascii="Courier New" w:hAnsi="Courier New" w:cs="Courier New" w:hint="default"/>
      </w:rPr>
    </w:lvl>
    <w:lvl w:ilvl="5" w:tplc="3EE2DD10" w:tentative="1">
      <w:start w:val="1"/>
      <w:numFmt w:val="bullet"/>
      <w:lvlText w:val=""/>
      <w:lvlJc w:val="left"/>
      <w:pPr>
        <w:ind w:left="4320" w:hanging="360"/>
      </w:pPr>
      <w:rPr>
        <w:rFonts w:ascii="Wingdings" w:hAnsi="Wingdings" w:hint="default"/>
      </w:rPr>
    </w:lvl>
    <w:lvl w:ilvl="6" w:tplc="37AE957A" w:tentative="1">
      <w:start w:val="1"/>
      <w:numFmt w:val="bullet"/>
      <w:lvlText w:val=""/>
      <w:lvlJc w:val="left"/>
      <w:pPr>
        <w:ind w:left="5040" w:hanging="360"/>
      </w:pPr>
      <w:rPr>
        <w:rFonts w:ascii="Symbol" w:hAnsi="Symbol" w:hint="default"/>
      </w:rPr>
    </w:lvl>
    <w:lvl w:ilvl="7" w:tplc="F342C986" w:tentative="1">
      <w:start w:val="1"/>
      <w:numFmt w:val="bullet"/>
      <w:lvlText w:val="o"/>
      <w:lvlJc w:val="left"/>
      <w:pPr>
        <w:ind w:left="5760" w:hanging="360"/>
      </w:pPr>
      <w:rPr>
        <w:rFonts w:ascii="Courier New" w:hAnsi="Courier New" w:cs="Courier New" w:hint="default"/>
      </w:rPr>
    </w:lvl>
    <w:lvl w:ilvl="8" w:tplc="AE546E64" w:tentative="1">
      <w:start w:val="1"/>
      <w:numFmt w:val="bullet"/>
      <w:lvlText w:val=""/>
      <w:lvlJc w:val="left"/>
      <w:pPr>
        <w:ind w:left="6480" w:hanging="360"/>
      </w:pPr>
      <w:rPr>
        <w:rFonts w:ascii="Wingdings" w:hAnsi="Wingdings" w:hint="default"/>
      </w:rPr>
    </w:lvl>
  </w:abstractNum>
  <w:abstractNum w:abstractNumId="7" w15:restartNumberingAfterBreak="0">
    <w:nsid w:val="5C1015E2"/>
    <w:multiLevelType w:val="hybridMultilevel"/>
    <w:tmpl w:val="47AA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B0044B"/>
    <w:multiLevelType w:val="hybridMultilevel"/>
    <w:tmpl w:val="A2762674"/>
    <w:lvl w:ilvl="0" w:tplc="45007E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E2146A"/>
    <w:multiLevelType w:val="hybridMultilevel"/>
    <w:tmpl w:val="AC78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0211DF"/>
    <w:multiLevelType w:val="singleLevel"/>
    <w:tmpl w:val="45007E2C"/>
    <w:lvl w:ilvl="0">
      <w:start w:val="1"/>
      <w:numFmt w:val="bullet"/>
      <w:lvlText w:val=""/>
      <w:lvlJc w:val="left"/>
      <w:pPr>
        <w:ind w:left="720" w:hanging="360"/>
      </w:pPr>
      <w:rPr>
        <w:rFonts w:ascii="Symbol" w:hAnsi="Symbol" w:hint="default"/>
        <w:color w:val="BFBFBF"/>
        <w:sz w:val="52"/>
      </w:rPr>
    </w:lvl>
  </w:abstractNum>
  <w:abstractNum w:abstractNumId="11" w15:restartNumberingAfterBreak="0">
    <w:nsid w:val="7D085DEC"/>
    <w:multiLevelType w:val="hybridMultilevel"/>
    <w:tmpl w:val="2CD44288"/>
    <w:lvl w:ilvl="0" w:tplc="8952A5AA">
      <w:start w:val="1"/>
      <w:numFmt w:val="bullet"/>
      <w:lvlText w:val=""/>
      <w:lvlJc w:val="left"/>
      <w:pPr>
        <w:ind w:left="360" w:hanging="360"/>
      </w:pPr>
      <w:rPr>
        <w:rFonts w:ascii="Wingdings" w:hAnsi="Wingdings" w:hint="default"/>
      </w:rPr>
    </w:lvl>
    <w:lvl w:ilvl="1" w:tplc="FAA2D08C" w:tentative="1">
      <w:start w:val="1"/>
      <w:numFmt w:val="bullet"/>
      <w:lvlText w:val="o"/>
      <w:lvlJc w:val="left"/>
      <w:pPr>
        <w:ind w:left="1080" w:hanging="360"/>
      </w:pPr>
      <w:rPr>
        <w:rFonts w:ascii="Courier New" w:hAnsi="Courier New" w:cs="Courier New" w:hint="default"/>
      </w:rPr>
    </w:lvl>
    <w:lvl w:ilvl="2" w:tplc="06CC4188" w:tentative="1">
      <w:start w:val="1"/>
      <w:numFmt w:val="bullet"/>
      <w:lvlText w:val=""/>
      <w:lvlJc w:val="left"/>
      <w:pPr>
        <w:ind w:left="1800" w:hanging="360"/>
      </w:pPr>
      <w:rPr>
        <w:rFonts w:ascii="Wingdings" w:hAnsi="Wingdings" w:hint="default"/>
      </w:rPr>
    </w:lvl>
    <w:lvl w:ilvl="3" w:tplc="5A947A68" w:tentative="1">
      <w:start w:val="1"/>
      <w:numFmt w:val="bullet"/>
      <w:lvlText w:val=""/>
      <w:lvlJc w:val="left"/>
      <w:pPr>
        <w:ind w:left="2520" w:hanging="360"/>
      </w:pPr>
      <w:rPr>
        <w:rFonts w:ascii="Symbol" w:hAnsi="Symbol" w:hint="default"/>
      </w:rPr>
    </w:lvl>
    <w:lvl w:ilvl="4" w:tplc="4A12EA18" w:tentative="1">
      <w:start w:val="1"/>
      <w:numFmt w:val="bullet"/>
      <w:lvlText w:val="o"/>
      <w:lvlJc w:val="left"/>
      <w:pPr>
        <w:ind w:left="3240" w:hanging="360"/>
      </w:pPr>
      <w:rPr>
        <w:rFonts w:ascii="Courier New" w:hAnsi="Courier New" w:cs="Courier New" w:hint="default"/>
      </w:rPr>
    </w:lvl>
    <w:lvl w:ilvl="5" w:tplc="3E326DAE" w:tentative="1">
      <w:start w:val="1"/>
      <w:numFmt w:val="bullet"/>
      <w:lvlText w:val=""/>
      <w:lvlJc w:val="left"/>
      <w:pPr>
        <w:ind w:left="3960" w:hanging="360"/>
      </w:pPr>
      <w:rPr>
        <w:rFonts w:ascii="Wingdings" w:hAnsi="Wingdings" w:hint="default"/>
      </w:rPr>
    </w:lvl>
    <w:lvl w:ilvl="6" w:tplc="30B88B52" w:tentative="1">
      <w:start w:val="1"/>
      <w:numFmt w:val="bullet"/>
      <w:lvlText w:val=""/>
      <w:lvlJc w:val="left"/>
      <w:pPr>
        <w:ind w:left="4680" w:hanging="360"/>
      </w:pPr>
      <w:rPr>
        <w:rFonts w:ascii="Symbol" w:hAnsi="Symbol" w:hint="default"/>
      </w:rPr>
    </w:lvl>
    <w:lvl w:ilvl="7" w:tplc="624A4582" w:tentative="1">
      <w:start w:val="1"/>
      <w:numFmt w:val="bullet"/>
      <w:lvlText w:val="o"/>
      <w:lvlJc w:val="left"/>
      <w:pPr>
        <w:ind w:left="5400" w:hanging="360"/>
      </w:pPr>
      <w:rPr>
        <w:rFonts w:ascii="Courier New" w:hAnsi="Courier New" w:cs="Courier New" w:hint="default"/>
      </w:rPr>
    </w:lvl>
    <w:lvl w:ilvl="8" w:tplc="10D05A52"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11"/>
  </w:num>
  <w:num w:numId="6">
    <w:abstractNumId w:val="9"/>
  </w:num>
  <w:num w:numId="7">
    <w:abstractNumId w:val="2"/>
  </w:num>
  <w:num w:numId="8">
    <w:abstractNumId w:val="5"/>
  </w:num>
  <w:num w:numId="9">
    <w:abstractNumId w:val="10"/>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B5"/>
    <w:rsid w:val="00015698"/>
    <w:rsid w:val="00085BC3"/>
    <w:rsid w:val="000904B5"/>
    <w:rsid w:val="000B238B"/>
    <w:rsid w:val="000C306B"/>
    <w:rsid w:val="00163B4C"/>
    <w:rsid w:val="0018514D"/>
    <w:rsid w:val="001A4CE1"/>
    <w:rsid w:val="001F2B23"/>
    <w:rsid w:val="002A5CA6"/>
    <w:rsid w:val="002B39C9"/>
    <w:rsid w:val="0034376A"/>
    <w:rsid w:val="003874AF"/>
    <w:rsid w:val="003930BB"/>
    <w:rsid w:val="003976BC"/>
    <w:rsid w:val="003A3F1C"/>
    <w:rsid w:val="003C21DE"/>
    <w:rsid w:val="003C5285"/>
    <w:rsid w:val="00401F3D"/>
    <w:rsid w:val="00412795"/>
    <w:rsid w:val="00492B1E"/>
    <w:rsid w:val="004A7D94"/>
    <w:rsid w:val="005E250E"/>
    <w:rsid w:val="00625C93"/>
    <w:rsid w:val="006842E5"/>
    <w:rsid w:val="006E1FBB"/>
    <w:rsid w:val="00760163"/>
    <w:rsid w:val="00760F50"/>
    <w:rsid w:val="00766C41"/>
    <w:rsid w:val="007866B9"/>
    <w:rsid w:val="00794D9C"/>
    <w:rsid w:val="00796C8D"/>
    <w:rsid w:val="00806911"/>
    <w:rsid w:val="00820AB2"/>
    <w:rsid w:val="00835195"/>
    <w:rsid w:val="00867110"/>
    <w:rsid w:val="008E59CE"/>
    <w:rsid w:val="00944C1F"/>
    <w:rsid w:val="0098182C"/>
    <w:rsid w:val="00992F9A"/>
    <w:rsid w:val="009E0094"/>
    <w:rsid w:val="00A1178E"/>
    <w:rsid w:val="00A83294"/>
    <w:rsid w:val="00AA76D7"/>
    <w:rsid w:val="00AE3035"/>
    <w:rsid w:val="00AE5777"/>
    <w:rsid w:val="00B87195"/>
    <w:rsid w:val="00C10135"/>
    <w:rsid w:val="00C81FB9"/>
    <w:rsid w:val="00CD0188"/>
    <w:rsid w:val="00CF1271"/>
    <w:rsid w:val="00E12951"/>
    <w:rsid w:val="00E732E9"/>
    <w:rsid w:val="00EA74CB"/>
    <w:rsid w:val="00EB4133"/>
    <w:rsid w:val="00F34E29"/>
    <w:rsid w:val="00F71010"/>
    <w:rsid w:val="00FF1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58246F-13BA-490F-B37C-12D18BC8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B5"/>
    <w:pPr>
      <w:spacing w:after="240"/>
    </w:pPr>
    <w:rPr>
      <w:rFonts w:ascii="Arial" w:eastAsia="Calibri" w:hAnsi="Arial" w:cs="Times New Roman"/>
      <w:sz w:val="24"/>
      <w:szCs w:val="24"/>
      <w:lang w:eastAsia="en-US"/>
    </w:rPr>
  </w:style>
  <w:style w:type="paragraph" w:styleId="Heading1">
    <w:name w:val="heading 1"/>
    <w:basedOn w:val="Normal"/>
    <w:next w:val="Normal"/>
    <w:link w:val="Heading1Char"/>
    <w:qFormat/>
    <w:rsid w:val="000904B5"/>
    <w:pPr>
      <w:keepNext/>
      <w:spacing w:before="240" w:after="180"/>
      <w:outlineLvl w:val="0"/>
    </w:pPr>
    <w:rPr>
      <w:rFonts w:cs="Arial"/>
      <w:b/>
      <w:bCs/>
      <w:kern w:val="32"/>
      <w:sz w:val="32"/>
      <w:szCs w:val="32"/>
    </w:rPr>
  </w:style>
  <w:style w:type="paragraph" w:styleId="Heading2">
    <w:name w:val="heading 2"/>
    <w:basedOn w:val="Normal"/>
    <w:next w:val="Normal"/>
    <w:link w:val="Heading2Char"/>
    <w:qFormat/>
    <w:rsid w:val="000904B5"/>
    <w:pPr>
      <w:keepNext/>
      <w:overflowPunct w:val="0"/>
      <w:autoSpaceDE w:val="0"/>
      <w:autoSpaceDN w:val="0"/>
      <w:adjustRightInd w:val="0"/>
      <w:spacing w:before="240" w:after="120"/>
      <w:textAlignment w:val="baseline"/>
      <w:outlineLvl w:val="1"/>
    </w:pPr>
    <w:rPr>
      <w:rFonts w:eastAsiaTheme="majorEastAsia" w:cstheme="majorBidi"/>
      <w:b/>
      <w:sz w:val="28"/>
      <w:szCs w:val="28"/>
    </w:rPr>
  </w:style>
  <w:style w:type="paragraph" w:styleId="Heading3">
    <w:name w:val="heading 3"/>
    <w:basedOn w:val="Normal"/>
    <w:next w:val="Normal"/>
    <w:link w:val="Heading3Char"/>
    <w:qFormat/>
    <w:rsid w:val="000904B5"/>
    <w:pPr>
      <w:keepNext/>
      <w:overflowPunct w:val="0"/>
      <w:autoSpaceDE w:val="0"/>
      <w:autoSpaceDN w:val="0"/>
      <w:adjustRightInd w:val="0"/>
      <w:spacing w:before="240" w:after="60"/>
      <w:textAlignment w:val="baseline"/>
      <w:outlineLvl w:val="2"/>
    </w:pPr>
    <w:rPr>
      <w:rFonts w:eastAsiaTheme="majorEastAsia" w:cstheme="majorBidi"/>
      <w:b/>
      <w:szCs w:val="20"/>
    </w:rPr>
  </w:style>
  <w:style w:type="paragraph" w:styleId="Heading4">
    <w:name w:val="heading 4"/>
    <w:basedOn w:val="Normal"/>
    <w:next w:val="BodyText"/>
    <w:link w:val="Heading4Char"/>
    <w:unhideWhenUsed/>
    <w:qFormat/>
    <w:rsid w:val="000904B5"/>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4B5"/>
    <w:rPr>
      <w:rFonts w:ascii="Arial" w:eastAsia="Calibri" w:hAnsi="Arial" w:cs="Arial"/>
      <w:b/>
      <w:bCs/>
      <w:kern w:val="32"/>
      <w:sz w:val="32"/>
      <w:szCs w:val="32"/>
      <w:lang w:eastAsia="en-US"/>
    </w:rPr>
  </w:style>
  <w:style w:type="character" w:customStyle="1" w:styleId="Heading2Char">
    <w:name w:val="Heading 2 Char"/>
    <w:basedOn w:val="DefaultParagraphFont"/>
    <w:link w:val="Heading2"/>
    <w:rsid w:val="000904B5"/>
    <w:rPr>
      <w:rFonts w:ascii="Arial" w:eastAsiaTheme="majorEastAsia" w:hAnsi="Arial" w:cstheme="majorBidi"/>
      <w:b/>
      <w:sz w:val="28"/>
      <w:szCs w:val="28"/>
      <w:lang w:eastAsia="en-US"/>
    </w:rPr>
  </w:style>
  <w:style w:type="character" w:customStyle="1" w:styleId="Heading3Char">
    <w:name w:val="Heading 3 Char"/>
    <w:basedOn w:val="DefaultParagraphFont"/>
    <w:link w:val="Heading3"/>
    <w:rsid w:val="000904B5"/>
    <w:rPr>
      <w:rFonts w:ascii="Arial" w:eastAsiaTheme="majorEastAsia" w:hAnsi="Arial" w:cstheme="majorBidi"/>
      <w:b/>
      <w:sz w:val="24"/>
      <w:szCs w:val="20"/>
      <w:lang w:eastAsia="en-US"/>
    </w:rPr>
  </w:style>
  <w:style w:type="character" w:customStyle="1" w:styleId="Heading4Char">
    <w:name w:val="Heading 4 Char"/>
    <w:basedOn w:val="DefaultParagraphFont"/>
    <w:link w:val="Heading4"/>
    <w:rsid w:val="000904B5"/>
    <w:rPr>
      <w:rFonts w:ascii="Arial" w:eastAsiaTheme="majorEastAsia" w:hAnsi="Arial" w:cstheme="majorBidi"/>
      <w:b/>
      <w:bCs/>
      <w:i/>
      <w:iCs/>
      <w:sz w:val="24"/>
      <w:szCs w:val="24"/>
      <w:lang w:eastAsia="en-US"/>
    </w:rPr>
  </w:style>
  <w:style w:type="paragraph" w:styleId="Header">
    <w:name w:val="header"/>
    <w:basedOn w:val="Normal"/>
    <w:link w:val="HeaderChar"/>
    <w:uiPriority w:val="99"/>
    <w:unhideWhenUsed/>
    <w:rsid w:val="000904B5"/>
    <w:pPr>
      <w:tabs>
        <w:tab w:val="center" w:pos="4513"/>
        <w:tab w:val="right" w:pos="9026"/>
      </w:tabs>
    </w:pPr>
  </w:style>
  <w:style w:type="character" w:customStyle="1" w:styleId="HeaderChar">
    <w:name w:val="Header Char"/>
    <w:basedOn w:val="DefaultParagraphFont"/>
    <w:link w:val="Header"/>
    <w:uiPriority w:val="99"/>
    <w:rsid w:val="000904B5"/>
    <w:rPr>
      <w:rFonts w:ascii="Arial" w:eastAsia="Calibri" w:hAnsi="Arial" w:cs="Times New Roman"/>
      <w:sz w:val="24"/>
      <w:szCs w:val="24"/>
      <w:lang w:eastAsia="en-US"/>
    </w:rPr>
  </w:style>
  <w:style w:type="paragraph" w:styleId="Footer">
    <w:name w:val="footer"/>
    <w:basedOn w:val="Normal"/>
    <w:link w:val="FooterChar"/>
    <w:uiPriority w:val="99"/>
    <w:unhideWhenUsed/>
    <w:rsid w:val="000904B5"/>
    <w:pPr>
      <w:tabs>
        <w:tab w:val="center" w:pos="4513"/>
        <w:tab w:val="right" w:pos="9026"/>
      </w:tabs>
    </w:pPr>
  </w:style>
  <w:style w:type="character" w:customStyle="1" w:styleId="FooterChar">
    <w:name w:val="Footer Char"/>
    <w:basedOn w:val="DefaultParagraphFont"/>
    <w:link w:val="Footer"/>
    <w:uiPriority w:val="99"/>
    <w:rsid w:val="000904B5"/>
    <w:rPr>
      <w:rFonts w:ascii="Arial" w:eastAsia="Calibri" w:hAnsi="Arial" w:cs="Times New Roman"/>
      <w:sz w:val="24"/>
      <w:szCs w:val="24"/>
      <w:lang w:eastAsia="en-US"/>
    </w:rPr>
  </w:style>
  <w:style w:type="character" w:styleId="PageNumber">
    <w:name w:val="page number"/>
    <w:qFormat/>
    <w:rsid w:val="000904B5"/>
    <w:rPr>
      <w:rFonts w:ascii="Arial" w:hAnsi="Arial"/>
      <w:sz w:val="20"/>
    </w:rPr>
  </w:style>
  <w:style w:type="character" w:styleId="Hyperlink">
    <w:name w:val="Hyperlink"/>
    <w:basedOn w:val="DefaultParagraphFont"/>
    <w:uiPriority w:val="99"/>
    <w:unhideWhenUsed/>
    <w:rsid w:val="000904B5"/>
    <w:rPr>
      <w:color w:val="0000FF" w:themeColor="hyperlink"/>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0904B5"/>
    <w:pPr>
      <w:numPr>
        <w:numId w:val="1"/>
      </w:numPr>
      <w:contextualSpacing/>
    </w:pPr>
    <w:rPr>
      <w:rFonts w:eastAsia="MS Mincho"/>
    </w:rPr>
  </w:style>
  <w:style w:type="character" w:customStyle="1" w:styleId="HeaderDate">
    <w:name w:val="Header Date"/>
    <w:uiPriority w:val="1"/>
    <w:qFormat/>
    <w:rsid w:val="000904B5"/>
    <w:rPr>
      <w:rFonts w:ascii="Open Sans" w:hAnsi="Open Sans"/>
      <w:b w:val="0"/>
      <w:sz w:val="18"/>
    </w:r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0904B5"/>
    <w:rPr>
      <w:rFonts w:ascii="Arial" w:eastAsia="MS Mincho" w:hAnsi="Arial" w:cs="Times New Roman"/>
      <w:sz w:val="24"/>
      <w:szCs w:val="24"/>
      <w:lang w:eastAsia="en-US"/>
    </w:rPr>
  </w:style>
  <w:style w:type="table" w:styleId="TableGrid">
    <w:name w:val="Table Grid"/>
    <w:basedOn w:val="TableNormal"/>
    <w:uiPriority w:val="59"/>
    <w:rsid w:val="000904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904B5"/>
    <w:pPr>
      <w:spacing w:after="120"/>
    </w:pPr>
  </w:style>
  <w:style w:type="character" w:customStyle="1" w:styleId="BodyTextChar">
    <w:name w:val="Body Text Char"/>
    <w:basedOn w:val="DefaultParagraphFont"/>
    <w:link w:val="BodyText"/>
    <w:uiPriority w:val="99"/>
    <w:semiHidden/>
    <w:rsid w:val="000904B5"/>
    <w:rPr>
      <w:rFonts w:ascii="Arial" w:eastAsia="Calibri" w:hAnsi="Arial" w:cs="Times New Roman"/>
      <w:sz w:val="24"/>
      <w:szCs w:val="24"/>
      <w:lang w:eastAsia="en-US"/>
    </w:rPr>
  </w:style>
  <w:style w:type="paragraph" w:customStyle="1" w:styleId="Default">
    <w:name w:val="Default"/>
    <w:rsid w:val="00820AB2"/>
    <w:pPr>
      <w:autoSpaceDE w:val="0"/>
      <w:autoSpaceDN w:val="0"/>
      <w:adjustRightInd w:val="0"/>
      <w:spacing w:after="0" w:line="240" w:lineRule="auto"/>
    </w:pPr>
    <w:rPr>
      <w:rFonts w:ascii="Open Sans" w:hAnsi="Open Sans" w:cs="Open Sans"/>
      <w:color w:val="000000"/>
      <w:sz w:val="24"/>
      <w:szCs w:val="24"/>
      <w:lang w:val="en-GB" w:eastAsia="en-US"/>
    </w:rPr>
  </w:style>
  <w:style w:type="numbering" w:customStyle="1" w:styleId="Singlepunch">
    <w:name w:val="Single punch"/>
    <w:rsid w:val="00820AB2"/>
    <w:pPr>
      <w:numPr>
        <w:numId w:val="8"/>
      </w:numPr>
    </w:pPr>
  </w:style>
  <w:style w:type="paragraph" w:styleId="BalloonText">
    <w:name w:val="Balloon Text"/>
    <w:basedOn w:val="Normal"/>
    <w:link w:val="BalloonTextChar"/>
    <w:uiPriority w:val="99"/>
    <w:semiHidden/>
    <w:unhideWhenUsed/>
    <w:rsid w:val="00E7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E9"/>
    <w:rPr>
      <w:rFonts w:ascii="Segoe UI" w:eastAsia="Calibri" w:hAnsi="Segoe UI" w:cs="Segoe UI"/>
      <w:sz w:val="18"/>
      <w:szCs w:val="18"/>
      <w:lang w:eastAsia="en-US"/>
    </w:rPr>
  </w:style>
  <w:style w:type="character" w:styleId="Strong">
    <w:name w:val="Strong"/>
    <w:basedOn w:val="DefaultParagraphFont"/>
    <w:uiPriority w:val="22"/>
    <w:qFormat/>
    <w:rsid w:val="00766C41"/>
    <w:rPr>
      <w:b/>
      <w:bCs/>
    </w:rPr>
  </w:style>
  <w:style w:type="character" w:styleId="FollowedHyperlink">
    <w:name w:val="FollowedHyperlink"/>
    <w:basedOn w:val="DefaultParagraphFont"/>
    <w:uiPriority w:val="99"/>
    <w:semiHidden/>
    <w:unhideWhenUsed/>
    <w:rsid w:val="00992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4197">
      <w:bodyDiv w:val="1"/>
      <w:marLeft w:val="0"/>
      <w:marRight w:val="0"/>
      <w:marTop w:val="0"/>
      <w:marBottom w:val="0"/>
      <w:divBdr>
        <w:top w:val="none" w:sz="0" w:space="0" w:color="auto"/>
        <w:left w:val="none" w:sz="0" w:space="0" w:color="auto"/>
        <w:bottom w:val="none" w:sz="0" w:space="0" w:color="auto"/>
        <w:right w:val="none" w:sz="0" w:space="0" w:color="auto"/>
      </w:divBdr>
    </w:div>
    <w:div w:id="3710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SReview@equalopportunity.ta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opportunity.tas.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PSReview@equalopportunity.tas.gov.au" TargetMode="External"/><Relationship Id="rId4" Type="http://schemas.openxmlformats.org/officeDocument/2006/relationships/settings" Target="settings.xml"/><Relationship Id="rId9" Type="http://schemas.openxmlformats.org/officeDocument/2006/relationships/hyperlink" Target="https://equalopportunity.tas.gov.au/news_and_events/review-into-ministerial-and-parliamentary-practices-and-procedures2/faq-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D27A-29B8-4865-BE00-8A741AF8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Egdom, Melanie</dc:creator>
  <cp:keywords/>
  <dc:description/>
  <cp:lastModifiedBy>Warburton, Katrina</cp:lastModifiedBy>
  <cp:revision>4</cp:revision>
  <cp:lastPrinted>2022-03-23T02:51:00Z</cp:lastPrinted>
  <dcterms:created xsi:type="dcterms:W3CDTF">2022-03-29T23:46:00Z</dcterms:created>
  <dcterms:modified xsi:type="dcterms:W3CDTF">2022-03-30T02:50:00Z</dcterms:modified>
</cp:coreProperties>
</file>