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D0" w:rsidRPr="003A511E" w:rsidRDefault="009A178E" w:rsidP="003A511E">
      <w:pPr>
        <w:pStyle w:val="Title"/>
        <w:ind w:right="48"/>
      </w:pPr>
      <w:r>
        <w:rPr>
          <w:noProof/>
          <w:lang w:eastAsia="en-AU"/>
        </w:rPr>
        <w:pict>
          <v:shape id="Arc 2" o:spid="_x0000_s1026" alt="Australian Council of Human Rights Authorities&#10;Communique 13 November 2015" style="position:absolute;left:0;text-align:left;margin-left:9.65pt;margin-top:-29.15pt;width:469.35pt;height:90pt;flip:y;z-index:-251658752;visibility:visible" coordsize="21642,3198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" adj="0,,0" path="m,nfc14,,28,-1,42,,11971,,21642,9670,21642,21600v,3629,-915,7199,-2659,10382em,nsc14,,28,-1,42,,11971,,21642,9670,21642,21600v,3629,-915,7199,-2659,10382l42,21600,,xe" filled="f" strokecolor="#ff9" strokeweight="6pt">
            <v:stroke joinstyle="round"/>
            <v:formulas/>
            <v:path arrowok="t" o:extrusionok="f" o:connecttype="custom" o:connectlocs="0,0;2147483647,2147483647;2147483647,2147483647" o:connectangles="0,0,0" textboxrect="3163,3163,18437,18437"/>
          </v:shape>
        </w:pict>
      </w:r>
      <w:r w:rsidR="00C31DD0">
        <w:t>Australian Council of Human Rights Authorities</w:t>
      </w:r>
    </w:p>
    <w:p w:rsidR="00621CD7" w:rsidRDefault="00C31DD0" w:rsidP="002F3BE4">
      <w:pPr>
        <w:pStyle w:val="Subtitle"/>
      </w:pPr>
      <w:r>
        <w:t>Communiqué</w:t>
      </w:r>
      <w:r w:rsidR="00D2187B">
        <w:t xml:space="preserve"> </w:t>
      </w:r>
      <w:r w:rsidR="008F4F1A">
        <w:t>28 April</w:t>
      </w:r>
      <w:r w:rsidRPr="00867A50">
        <w:t xml:space="preserve"> </w:t>
      </w:r>
      <w:r w:rsidR="008F4F1A">
        <w:t>2017</w:t>
      </w:r>
    </w:p>
    <w:p w:rsidR="002E0563" w:rsidRDefault="00C31DD0" w:rsidP="003A511E">
      <w:r w:rsidRPr="003A511E">
        <w:t xml:space="preserve">The Australian Council of Human Rights Authorities (ACHRA), which comprises the State, Territory and Federal human rights and discrimination authorities, </w:t>
      </w:r>
      <w:r w:rsidR="00FB3C69">
        <w:t xml:space="preserve">recently </w:t>
      </w:r>
      <w:r w:rsidRPr="003A511E">
        <w:t xml:space="preserve">met in </w:t>
      </w:r>
      <w:r w:rsidR="008F4F1A">
        <w:t>Sydney</w:t>
      </w:r>
      <w:r w:rsidR="00406A61" w:rsidRPr="003A511E">
        <w:t xml:space="preserve"> </w:t>
      </w:r>
      <w:r w:rsidR="008F4F1A">
        <w:t>on 27-28 April</w:t>
      </w:r>
      <w:r w:rsidR="00C1470E">
        <w:t xml:space="preserve"> </w:t>
      </w:r>
      <w:r w:rsidR="008F4F1A">
        <w:t>2017</w:t>
      </w:r>
      <w:r w:rsidR="00AC0260">
        <w:t xml:space="preserve"> </w:t>
      </w:r>
      <w:r w:rsidRPr="003A511E">
        <w:t>to consider a number of issues of common concern and interest.</w:t>
      </w:r>
      <w:r w:rsidR="00406A61" w:rsidRPr="003A511E">
        <w:t xml:space="preserve"> </w:t>
      </w:r>
    </w:p>
    <w:p w:rsidR="002E0563" w:rsidRDefault="00AC0260" w:rsidP="002E0563">
      <w:pPr>
        <w:pStyle w:val="Heading1"/>
      </w:pPr>
      <w:r>
        <w:t>Changes of Commissioners</w:t>
      </w:r>
    </w:p>
    <w:p w:rsidR="007418A6" w:rsidRPr="001D5B4F" w:rsidRDefault="002E0563" w:rsidP="007418A6">
      <w:r>
        <w:t>ACHRA acknowledges the pos</w:t>
      </w:r>
      <w:r w:rsidR="008F4F1A">
        <w:t>itive contribution of Gillian Trigg</w:t>
      </w:r>
      <w:r>
        <w:t>s, who finishes her term</w:t>
      </w:r>
      <w:r w:rsidR="008F4F1A">
        <w:t xml:space="preserve"> as President</w:t>
      </w:r>
      <w:r w:rsidR="004276ED">
        <w:t xml:space="preserve"> </w:t>
      </w:r>
      <w:r w:rsidR="008F4F1A">
        <w:t xml:space="preserve">in July 2017. </w:t>
      </w:r>
      <w:r w:rsidR="00117473">
        <w:t>We pay tribute to her inspiring leadership, courage, resilience, wisdom and compassion. ACHRA</w:t>
      </w:r>
      <w:r w:rsidR="008F4F1A">
        <w:t xml:space="preserve"> also welcome</w:t>
      </w:r>
      <w:r w:rsidR="00117473">
        <w:t>s</w:t>
      </w:r>
      <w:r w:rsidR="008F4F1A">
        <w:t xml:space="preserve"> two </w:t>
      </w:r>
      <w:r w:rsidR="00F67909">
        <w:t xml:space="preserve">new Commissioners </w:t>
      </w:r>
      <w:r w:rsidR="008F4F1A">
        <w:t>–</w:t>
      </w:r>
      <w:r w:rsidR="00F67909">
        <w:t xml:space="preserve"> </w:t>
      </w:r>
      <w:r w:rsidR="008F4F1A">
        <w:t>John Byrne (WA</w:t>
      </w:r>
      <w:r w:rsidR="00F67909">
        <w:t xml:space="preserve"> </w:t>
      </w:r>
      <w:r w:rsidR="008F4F1A">
        <w:t>Commissioner for Equal Opportunity) and Sarah Bolt (Tasmanian Anti-Discrimination Commissioner)</w:t>
      </w:r>
      <w:r w:rsidR="004C5D2C">
        <w:t>.</w:t>
      </w:r>
    </w:p>
    <w:p w:rsidR="00062631" w:rsidRDefault="008F4F1A" w:rsidP="003A511E">
      <w:pPr>
        <w:pStyle w:val="Heading1"/>
        <w:tabs>
          <w:tab w:val="left" w:pos="6624"/>
        </w:tabs>
      </w:pPr>
      <w:r>
        <w:t>Gender</w:t>
      </w:r>
      <w:r w:rsidR="00A413EE">
        <w:t xml:space="preserve"> equality</w:t>
      </w:r>
    </w:p>
    <w:p w:rsidR="0092101D" w:rsidRDefault="001A2DBA" w:rsidP="00AD1AB9">
      <w:pPr>
        <w:pStyle w:val="PlainText"/>
        <w:rPr>
          <w:bCs/>
          <w:szCs w:val="22"/>
        </w:rPr>
      </w:pPr>
      <w:r>
        <w:t xml:space="preserve">ACHRA </w:t>
      </w:r>
      <w:r w:rsidR="00AD1AB9">
        <w:t>reaffirm</w:t>
      </w:r>
      <w:r>
        <w:t>s our</w:t>
      </w:r>
      <w:r w:rsidR="00AD1AB9">
        <w:t xml:space="preserve"> support </w:t>
      </w:r>
      <w:r>
        <w:t>for the important work being done around Australia to promote gender equality in institutions, beginning with the Australian Human Rights Commission</w:t>
      </w:r>
      <w:r w:rsidR="00D2187B">
        <w:t>’s seminal work</w:t>
      </w:r>
      <w:r>
        <w:t xml:space="preserve"> in the Defence Forces. </w:t>
      </w:r>
      <w:r w:rsidR="0092101D" w:rsidRPr="0092101D">
        <w:t>The Victorian Equal Opportunity and Human Rights Commission (VEOHRC) and the South Australian Equal Opportunity Commission (SAEOC) are continuing to work with the police departments in their respective States to monitor and audit progress against the recommendations in their reports into sex discrimination and sexual harassment, including predatory behaviour among police personnel.  VEOHRC is also undertaking a review to examine the nature and prevalence of discrimination, including bullying and sexual harassment in the Country Fire Authority and Metropolitan Fire Brigade.</w:t>
      </w:r>
      <w:r w:rsidR="0092101D" w:rsidRPr="0092101D">
        <w:rPr>
          <w:bCs/>
          <w:szCs w:val="22"/>
        </w:rPr>
        <w:t xml:space="preserve"> </w:t>
      </w:r>
    </w:p>
    <w:p w:rsidR="00363492" w:rsidRDefault="00363492" w:rsidP="00363492">
      <w:pPr>
        <w:pStyle w:val="Heading1"/>
      </w:pPr>
      <w:r>
        <w:t xml:space="preserve">Disability </w:t>
      </w:r>
      <w:r w:rsidR="008F4F1A">
        <w:t>equality</w:t>
      </w:r>
    </w:p>
    <w:p w:rsidR="002E0563" w:rsidRDefault="008F4F1A" w:rsidP="002E0563">
      <w:r>
        <w:t>ACHRA heard from</w:t>
      </w:r>
      <w:r w:rsidR="002E0563">
        <w:t xml:space="preserve"> Louise Glanville, Deputy CEO, of the National Disability Insurance Agency (NDIA)</w:t>
      </w:r>
      <w:r w:rsidR="004276ED">
        <w:t xml:space="preserve"> about</w:t>
      </w:r>
      <w:r w:rsidR="002E0563">
        <w:t xml:space="preserve"> </w:t>
      </w:r>
      <w:r w:rsidR="0001228B">
        <w:t xml:space="preserve">the </w:t>
      </w:r>
      <w:r w:rsidR="00117473">
        <w:t>rollout of the NDIS</w:t>
      </w:r>
      <w:r w:rsidR="00011A2D">
        <w:t>,</w:t>
      </w:r>
      <w:r w:rsidR="00117473">
        <w:t xml:space="preserve"> and the</w:t>
      </w:r>
      <w:r w:rsidR="00B478AE">
        <w:t xml:space="preserve"> </w:t>
      </w:r>
      <w:r w:rsidR="0001228B">
        <w:t>National Quality and Safeguarding F</w:t>
      </w:r>
      <w:r w:rsidR="002E0563">
        <w:t>ramework</w:t>
      </w:r>
      <w:r w:rsidR="00B478AE">
        <w:t xml:space="preserve"> that engenders the ‘dignity of risk’ principle</w:t>
      </w:r>
      <w:r>
        <w:t>.</w:t>
      </w:r>
    </w:p>
    <w:p w:rsidR="00C7304A" w:rsidRPr="00BB183C" w:rsidRDefault="00DC2B3E" w:rsidP="00363492">
      <w:pPr>
        <w:pStyle w:val="PlainText"/>
      </w:pPr>
      <w:r>
        <w:t>ACHRA</w:t>
      </w:r>
      <w:r w:rsidR="00BB183C">
        <w:t xml:space="preserve"> </w:t>
      </w:r>
      <w:r w:rsidR="00011A2D">
        <w:t xml:space="preserve">welcomed the work of the Senate Inquiry into Indefinite Detention of People with Cognitive and Psychiatric Impairment. We </w:t>
      </w:r>
      <w:r w:rsidR="00BB183C">
        <w:t>a</w:t>
      </w:r>
      <w:r w:rsidR="008F4F1A">
        <w:t xml:space="preserve">lso heard from Dr Anna </w:t>
      </w:r>
      <w:proofErr w:type="spellStart"/>
      <w:r w:rsidR="008F4F1A">
        <w:t>Arstein-Kerslake</w:t>
      </w:r>
      <w:proofErr w:type="spellEnd"/>
      <w:r w:rsidR="008F4F1A">
        <w:t xml:space="preserve"> from the University of Melbourne </w:t>
      </w:r>
      <w:r w:rsidR="00FC53F5">
        <w:t xml:space="preserve">about </w:t>
      </w:r>
      <w:r w:rsidR="00011A2D">
        <w:t xml:space="preserve">action-oriented research into </w:t>
      </w:r>
      <w:r w:rsidR="00FC53F5">
        <w:t xml:space="preserve">fitness to plead in criminal cases involving people with cognitive and psychiatric </w:t>
      </w:r>
      <w:r w:rsidR="00011A2D">
        <w:t>impairments in NT, NSW and Victoria</w:t>
      </w:r>
      <w:r w:rsidR="00FC53F5">
        <w:t>. ACHRA</w:t>
      </w:r>
      <w:r w:rsidR="00BB183C" w:rsidRPr="00BB183C">
        <w:t xml:space="preserve"> calls on S</w:t>
      </w:r>
      <w:r w:rsidR="00BB183C">
        <w:t>tates and Territory juris</w:t>
      </w:r>
      <w:r w:rsidR="00BB183C" w:rsidRPr="00BB183C">
        <w:t>dictions to review their legislation to</w:t>
      </w:r>
      <w:r w:rsidR="00BB183C">
        <w:rPr>
          <w:i/>
        </w:rPr>
        <w:t xml:space="preserve"> </w:t>
      </w:r>
      <w:r w:rsidR="00BB183C">
        <w:t>ensure compliance with human rights</w:t>
      </w:r>
      <w:r w:rsidR="00B478AE">
        <w:t xml:space="preserve"> obligations</w:t>
      </w:r>
      <w:r w:rsidR="00BB183C">
        <w:t xml:space="preserve"> in respect of fitness to plead in criminal matters and lawful detention.</w:t>
      </w:r>
    </w:p>
    <w:p w:rsidR="004276ED" w:rsidRPr="00363492" w:rsidRDefault="00FC53F5" w:rsidP="004276ED">
      <w:pPr>
        <w:pStyle w:val="Heading1"/>
      </w:pPr>
      <w:r>
        <w:t xml:space="preserve">Optional Protocol on Convention </w:t>
      </w:r>
      <w:proofErr w:type="gramStart"/>
      <w:r>
        <w:t>Against</w:t>
      </w:r>
      <w:proofErr w:type="gramEnd"/>
      <w:r>
        <w:t xml:space="preserve"> Torture</w:t>
      </w:r>
    </w:p>
    <w:p w:rsidR="004276ED" w:rsidRDefault="00BB183C" w:rsidP="004276ED">
      <w:pPr>
        <w:pStyle w:val="PlainText"/>
      </w:pPr>
      <w:r>
        <w:t xml:space="preserve">ACHRA </w:t>
      </w:r>
      <w:r w:rsidR="00FC53F5">
        <w:t>welcomes the Australian Government’s announcement to rati</w:t>
      </w:r>
      <w:r w:rsidR="004C5D2C">
        <w:t xml:space="preserve">fy </w:t>
      </w:r>
      <w:r w:rsidR="00840B6C">
        <w:t>the Optional Protocol Against Torture (</w:t>
      </w:r>
      <w:r w:rsidR="004C5D2C">
        <w:t>OPCAT</w:t>
      </w:r>
      <w:r w:rsidR="00840B6C">
        <w:t>)</w:t>
      </w:r>
      <w:r w:rsidR="004C5D2C">
        <w:t xml:space="preserve"> by the end</w:t>
      </w:r>
      <w:r w:rsidR="00FC53F5">
        <w:t xml:space="preserve"> of 2017</w:t>
      </w:r>
      <w:r w:rsidR="004C5D2C">
        <w:t>.</w:t>
      </w:r>
      <w:r w:rsidR="00FC53F5">
        <w:t xml:space="preserve"> </w:t>
      </w:r>
      <w:r w:rsidR="00840B6C">
        <w:t xml:space="preserve">OPCAT provides for independent monitoring of all places of detention, and it has the potential to play a vital role in improving conditions of detention throughout Australia. With the Australian Human Rights Commission consulting stakeholders on how OPCAT should </w:t>
      </w:r>
      <w:r w:rsidR="00840B6C">
        <w:lastRenderedPageBreak/>
        <w:t>be implemented, ACHRA calls on all Australian Governments to respond positively to this consultation process and adopt best practice in how people are detained.</w:t>
      </w:r>
      <w:r w:rsidR="00FC53F5">
        <w:t xml:space="preserve"> </w:t>
      </w:r>
    </w:p>
    <w:p w:rsidR="004276ED" w:rsidRDefault="00FC53F5" w:rsidP="004276ED">
      <w:pPr>
        <w:pStyle w:val="Heading1"/>
      </w:pPr>
      <w:r>
        <w:t>Multicultural</w:t>
      </w:r>
      <w:r w:rsidR="004276ED" w:rsidRPr="00363492">
        <w:t>ism</w:t>
      </w:r>
    </w:p>
    <w:p w:rsidR="00117473" w:rsidRDefault="004276ED" w:rsidP="004276ED">
      <w:pPr>
        <w:pStyle w:val="PlainText"/>
      </w:pPr>
      <w:r>
        <w:t>ACHRA</w:t>
      </w:r>
      <w:r w:rsidR="00FC53F5">
        <w:t xml:space="preserve"> heard from </w:t>
      </w:r>
      <w:r w:rsidR="00117473">
        <w:t>Aleem Ali</w:t>
      </w:r>
      <w:r w:rsidR="00011A2D">
        <w:t>,</w:t>
      </w:r>
      <w:r w:rsidR="00117473">
        <w:t xml:space="preserve"> Manager of </w:t>
      </w:r>
      <w:r w:rsidR="00FC53F5" w:rsidRPr="001A2DBA">
        <w:rPr>
          <w:i/>
        </w:rPr>
        <w:t>Welcoming Cities</w:t>
      </w:r>
      <w:r w:rsidR="00FC53F5">
        <w:t xml:space="preserve"> </w:t>
      </w:r>
      <w:r w:rsidR="002F3BE4">
        <w:t>(</w:t>
      </w:r>
      <w:r w:rsidR="001A2DBA">
        <w:t xml:space="preserve">funded by the Scanlon Foundation) </w:t>
      </w:r>
      <w:r w:rsidR="00117473">
        <w:t>ab</w:t>
      </w:r>
      <w:r w:rsidR="001A2DBA">
        <w:t>out their</w:t>
      </w:r>
      <w:r w:rsidR="00117473">
        <w:t xml:space="preserve"> important </w:t>
      </w:r>
      <w:r w:rsidR="00D2187B">
        <w:t>social cohesion</w:t>
      </w:r>
      <w:r w:rsidR="00011A2D">
        <w:t xml:space="preserve"> </w:t>
      </w:r>
      <w:r w:rsidR="00117473">
        <w:t xml:space="preserve">work </w:t>
      </w:r>
      <w:r w:rsidR="001A2DBA">
        <w:t xml:space="preserve">developing an Australian Standard </w:t>
      </w:r>
      <w:r w:rsidR="00117473">
        <w:t xml:space="preserve">with </w:t>
      </w:r>
      <w:r w:rsidR="002F3BE4">
        <w:t>local councils and other</w:t>
      </w:r>
      <w:r w:rsidR="001A2DBA">
        <w:t>s</w:t>
      </w:r>
      <w:r>
        <w:t>.</w:t>
      </w:r>
    </w:p>
    <w:p w:rsidR="004276ED" w:rsidRPr="00363492" w:rsidRDefault="00117473" w:rsidP="00D2187B">
      <w:pPr>
        <w:pStyle w:val="PlainText"/>
      </w:pPr>
      <w:r>
        <w:t xml:space="preserve">ACHRA is concerned </w:t>
      </w:r>
      <w:r w:rsidR="0092101D">
        <w:t>that the</w:t>
      </w:r>
      <w:r w:rsidR="00EC0AB1">
        <w:t xml:space="preserve"> introduction of</w:t>
      </w:r>
      <w:r w:rsidR="0092101D">
        <w:t xml:space="preserve"> International</w:t>
      </w:r>
      <w:r w:rsidR="00D2187B">
        <w:t xml:space="preserve"> English </w:t>
      </w:r>
      <w:r w:rsidR="0092101D">
        <w:t xml:space="preserve">Language Testing System Level 6 </w:t>
      </w:r>
      <w:r w:rsidR="00EC0AB1">
        <w:t xml:space="preserve">proficiency </w:t>
      </w:r>
      <w:r w:rsidR="00D2187B">
        <w:t>in new citizenship rules has the</w:t>
      </w:r>
      <w:r w:rsidR="00D2187B" w:rsidRPr="00D2187B">
        <w:t xml:space="preserve"> </w:t>
      </w:r>
      <w:r w:rsidR="00D2187B">
        <w:t xml:space="preserve">potential </w:t>
      </w:r>
      <w:proofErr w:type="gramStart"/>
      <w:r w:rsidR="00D2187B">
        <w:t>to unfairly exclude</w:t>
      </w:r>
      <w:proofErr w:type="gramEnd"/>
      <w:r w:rsidR="00D2187B">
        <w:t xml:space="preserve"> many people</w:t>
      </w:r>
      <w:r w:rsidR="00EC0AB1">
        <w:t>, and</w:t>
      </w:r>
      <w:r w:rsidR="00EC0AB1" w:rsidRPr="00EC0AB1">
        <w:t xml:space="preserve"> </w:t>
      </w:r>
      <w:r w:rsidR="00EC0AB1">
        <w:t>this new requirement does not take into account the generational nature of integration into Australian society</w:t>
      </w:r>
      <w:r w:rsidR="002F3BE4">
        <w:t>.</w:t>
      </w:r>
      <w:r w:rsidR="0092101D">
        <w:t xml:space="preserve"> </w:t>
      </w:r>
      <w:r w:rsidR="002F3BE4">
        <w:t>L</w:t>
      </w:r>
      <w:r w:rsidR="0092101D">
        <w:t xml:space="preserve">evel </w:t>
      </w:r>
      <w:r w:rsidR="002F3BE4">
        <w:t xml:space="preserve">6 </w:t>
      </w:r>
      <w:r w:rsidR="0092101D">
        <w:t>is so high that many universities use it for undergraduate admission</w:t>
      </w:r>
      <w:r w:rsidR="00EC0AB1">
        <w:t>,</w:t>
      </w:r>
      <w:r w:rsidR="002F3BE4">
        <w:t xml:space="preserve"> and many new migrants are unlikely to meet this level of proficiency in their first decade of settlement. </w:t>
      </w:r>
    </w:p>
    <w:p w:rsidR="00C7304A" w:rsidRDefault="00FC53F5" w:rsidP="00C7304A">
      <w:pPr>
        <w:pStyle w:val="Heading1"/>
      </w:pPr>
      <w:r>
        <w:t>Business and human right</w:t>
      </w:r>
      <w:r w:rsidR="00C7304A">
        <w:t xml:space="preserve">s </w:t>
      </w:r>
    </w:p>
    <w:p w:rsidR="00363492" w:rsidRPr="00363492" w:rsidRDefault="00F67909" w:rsidP="00363492">
      <w:pPr>
        <w:pStyle w:val="PlainText"/>
      </w:pPr>
      <w:r>
        <w:t>ACHRA</w:t>
      </w:r>
      <w:r w:rsidR="00C1470E">
        <w:t xml:space="preserve"> </w:t>
      </w:r>
      <w:r w:rsidR="00FC53F5">
        <w:t xml:space="preserve">welcomed the </w:t>
      </w:r>
      <w:r w:rsidR="000A2FD1">
        <w:t xml:space="preserve">recent </w:t>
      </w:r>
      <w:r w:rsidR="00FC53F5">
        <w:t xml:space="preserve">productive work from the partnership between the Australian Human Rights Commission and Deloitte on </w:t>
      </w:r>
      <w:r w:rsidR="000A2FD1">
        <w:t xml:space="preserve">the </w:t>
      </w:r>
      <w:r w:rsidR="000A2FD1" w:rsidRPr="000A2FD1">
        <w:rPr>
          <w:i/>
        </w:rPr>
        <w:t>Business Case for Customer Divers</w:t>
      </w:r>
      <w:r w:rsidR="000A2FD1">
        <w:rPr>
          <w:i/>
        </w:rPr>
        <w:t>i</w:t>
      </w:r>
      <w:r w:rsidR="000A2FD1" w:rsidRPr="000A2FD1">
        <w:rPr>
          <w:i/>
        </w:rPr>
        <w:t>ty</w:t>
      </w:r>
      <w:r w:rsidR="000A2FD1">
        <w:t xml:space="preserve">, and with Ernst &amp;Young on </w:t>
      </w:r>
      <w:r w:rsidR="000A2FD1" w:rsidRPr="000A2FD1">
        <w:rPr>
          <w:i/>
        </w:rPr>
        <w:t>Human Rights and Investment: the Value of Considering Human Rights in E</w:t>
      </w:r>
      <w:r w:rsidR="00011A2D">
        <w:rPr>
          <w:i/>
        </w:rPr>
        <w:t xml:space="preserve">nvironmental </w:t>
      </w:r>
      <w:r w:rsidR="000A2FD1" w:rsidRPr="000A2FD1">
        <w:rPr>
          <w:i/>
        </w:rPr>
        <w:t>S</w:t>
      </w:r>
      <w:r w:rsidR="00011A2D">
        <w:rPr>
          <w:i/>
        </w:rPr>
        <w:t xml:space="preserve">ocial Governance (ESG) </w:t>
      </w:r>
      <w:r w:rsidR="000A2FD1" w:rsidRPr="000A2FD1">
        <w:rPr>
          <w:i/>
        </w:rPr>
        <w:t>Due Diligence</w:t>
      </w:r>
      <w:r w:rsidR="000A2FD1">
        <w:t xml:space="preserve">. </w:t>
      </w:r>
    </w:p>
    <w:p w:rsidR="00011A2D" w:rsidRDefault="001B50B5" w:rsidP="00011A2D">
      <w:pPr>
        <w:pStyle w:val="Heading1"/>
        <w:rPr>
          <w:rFonts w:eastAsia="Times New Roman"/>
          <w:i/>
        </w:rPr>
      </w:pPr>
      <w:r>
        <w:t>Sports, human rights and equality</w:t>
      </w:r>
      <w:r w:rsidR="00011A2D" w:rsidRPr="00011A2D">
        <w:rPr>
          <w:rFonts w:eastAsia="Times New Roman"/>
          <w:i/>
        </w:rPr>
        <w:t xml:space="preserve"> </w:t>
      </w:r>
    </w:p>
    <w:p w:rsidR="00011A2D" w:rsidRPr="00011A2D" w:rsidRDefault="00011A2D" w:rsidP="00011A2D">
      <w:pPr>
        <w:pStyle w:val="PlainText"/>
      </w:pPr>
      <w:r>
        <w:t>ACHRA discussed</w:t>
      </w:r>
      <w:r w:rsidRPr="004B0957">
        <w:t xml:space="preserve"> </w:t>
      </w:r>
      <w:r>
        <w:t xml:space="preserve">the important work of the national inclusive sports program Play by the Rules in which ACHRA are key partners, and welcomed its recent campaign focussing on parent’s respectful behaviour on sidelines at their children’s sporting activities, </w:t>
      </w:r>
      <w:r w:rsidRPr="00840B6C">
        <w:rPr>
          <w:i/>
        </w:rPr>
        <w:t>Let Kids be Kids</w:t>
      </w:r>
      <w:r>
        <w:t xml:space="preserve">: </w:t>
      </w:r>
      <w:hyperlink r:id="rId8" w:history="1">
        <w:r w:rsidRPr="00CD017C">
          <w:rPr>
            <w:rStyle w:val="Hyperlink"/>
            <w:rFonts w:cs="Arial"/>
          </w:rPr>
          <w:t>http://www.playbytherules.net.au/</w:t>
        </w:r>
      </w:hyperlink>
      <w:r>
        <w:t xml:space="preserve"> </w:t>
      </w:r>
    </w:p>
    <w:p w:rsidR="00011A2D" w:rsidRPr="00117473" w:rsidRDefault="00011A2D" w:rsidP="00011A2D">
      <w:pPr>
        <w:rPr>
          <w:rFonts w:eastAsia="Times New Roman"/>
        </w:rPr>
      </w:pPr>
      <w:r w:rsidRPr="00DC2B3E">
        <w:rPr>
          <w:rFonts w:eastAsia="Times New Roman"/>
          <w:b/>
          <w:color w:val="00B050"/>
          <w:sz w:val="28"/>
          <w:szCs w:val="28"/>
        </w:rPr>
        <w:t>Older Australian</w:t>
      </w:r>
      <w:r>
        <w:rPr>
          <w:rFonts w:eastAsia="Times New Roman"/>
          <w:b/>
          <w:color w:val="00B050"/>
          <w:sz w:val="28"/>
          <w:szCs w:val="28"/>
        </w:rPr>
        <w:t>s</w:t>
      </w:r>
    </w:p>
    <w:p w:rsidR="00011A2D" w:rsidRPr="00011A2D" w:rsidRDefault="00011A2D" w:rsidP="00011A2D">
      <w:pPr>
        <w:rPr>
          <w:rFonts w:eastAsia="Times New Roman"/>
        </w:rPr>
      </w:pPr>
      <w:r>
        <w:rPr>
          <w:rFonts w:eastAsia="Times New Roman"/>
        </w:rPr>
        <w:t xml:space="preserve">ACHRA in concerned about ageism and age discrimination being the drivers of elder abuse. We heard from Matt Corrigan of the Australian Law Reform Commission about its inquiry into </w:t>
      </w:r>
      <w:r w:rsidRPr="00117473">
        <w:rPr>
          <w:rFonts w:eastAsia="Times New Roman"/>
          <w:i/>
        </w:rPr>
        <w:t>Elder Abuse</w:t>
      </w:r>
      <w:r>
        <w:rPr>
          <w:rFonts w:eastAsia="Times New Roman"/>
        </w:rPr>
        <w:t>. The Report is due in May 2017 and will consider law reform proposals in areas such as: financial advice, will making, powers of attorney and enduring power of attorney.  </w:t>
      </w:r>
    </w:p>
    <w:p w:rsidR="001B50B5" w:rsidRDefault="00011A2D" w:rsidP="00011A2D">
      <w:pPr>
        <w:pStyle w:val="Heading1"/>
        <w:rPr>
          <w:rFonts w:eastAsia="Times New Roman"/>
          <w:i/>
        </w:rPr>
      </w:pPr>
      <w:r w:rsidRPr="00117473">
        <w:rPr>
          <w:rFonts w:eastAsia="Times New Roman"/>
          <w:i/>
        </w:rPr>
        <w:t>Indigenous Incarceration</w:t>
      </w:r>
    </w:p>
    <w:p w:rsidR="00011A2D" w:rsidRDefault="00011A2D" w:rsidP="00C828F0">
      <w:pPr>
        <w:rPr>
          <w:rFonts w:eastAsia="Times New Roman"/>
        </w:rPr>
      </w:pPr>
      <w:r>
        <w:rPr>
          <w:rFonts w:eastAsia="Times New Roman"/>
        </w:rPr>
        <w:t xml:space="preserve">ACHRA is </w:t>
      </w:r>
      <w:bookmarkStart w:id="0" w:name="_GoBack"/>
      <w:bookmarkEnd w:id="0"/>
      <w:r>
        <w:rPr>
          <w:rFonts w:eastAsia="Times New Roman"/>
        </w:rPr>
        <w:t xml:space="preserve">very interested in the new ALRC Inquiry into the </w:t>
      </w:r>
      <w:r w:rsidRPr="00117473">
        <w:rPr>
          <w:rFonts w:eastAsia="Times New Roman"/>
          <w:i/>
        </w:rPr>
        <w:t>Rates of Indigenous Incarceration</w:t>
      </w:r>
      <w:r>
        <w:rPr>
          <w:rFonts w:eastAsia="Times New Roman"/>
        </w:rPr>
        <w:t>, and calls on all Australian Governments to take measures to reverse the increasingly disproportionate number of Aboriginal and Torres Strait Islander people placed in detention, and to adopt evidence-based preventative programs such as Justice Reinvestment.</w:t>
      </w:r>
    </w:p>
    <w:p w:rsidR="00840B6C" w:rsidRPr="00363492" w:rsidRDefault="00F863C5" w:rsidP="00840B6C">
      <w:pPr>
        <w:pStyle w:val="Heading1"/>
      </w:pPr>
      <w:r>
        <w:rPr>
          <w:rFonts w:eastAsia="Times New Roman"/>
        </w:rPr>
        <w:t xml:space="preserve">Child </w:t>
      </w:r>
      <w:r w:rsidR="00840B6C">
        <w:t>Safe Organisations</w:t>
      </w:r>
    </w:p>
    <w:p w:rsidR="00F863C5" w:rsidRDefault="00F863C5" w:rsidP="00C828F0">
      <w:pPr>
        <w:rPr>
          <w:rFonts w:eastAsia="Times New Roman"/>
        </w:rPr>
      </w:pPr>
      <w:r>
        <w:rPr>
          <w:rFonts w:eastAsia="Times New Roman"/>
        </w:rPr>
        <w:t xml:space="preserve">ACHRA supports the development of draft </w:t>
      </w:r>
      <w:r w:rsidR="0001228B">
        <w:rPr>
          <w:rFonts w:eastAsia="Times New Roman"/>
        </w:rPr>
        <w:t xml:space="preserve">National </w:t>
      </w:r>
      <w:r>
        <w:rPr>
          <w:rFonts w:eastAsia="Times New Roman"/>
        </w:rPr>
        <w:t xml:space="preserve">Statement of Principles </w:t>
      </w:r>
      <w:r w:rsidR="008330D5">
        <w:rPr>
          <w:rFonts w:eastAsia="Times New Roman"/>
        </w:rPr>
        <w:t>on Child Safe Organ</w:t>
      </w:r>
      <w:r w:rsidR="001A2DBA">
        <w:rPr>
          <w:rFonts w:eastAsia="Times New Roman"/>
        </w:rPr>
        <w:t>is</w:t>
      </w:r>
      <w:r w:rsidR="008330D5">
        <w:rPr>
          <w:rFonts w:eastAsia="Times New Roman"/>
        </w:rPr>
        <w:t xml:space="preserve">ations, </w:t>
      </w:r>
      <w:r>
        <w:rPr>
          <w:rFonts w:eastAsia="Times New Roman"/>
        </w:rPr>
        <w:t xml:space="preserve">as part of the National Framework for Protecting Australiana’s Children. </w:t>
      </w:r>
      <w:r w:rsidR="008330D5">
        <w:rPr>
          <w:rFonts w:eastAsia="Times New Roman"/>
        </w:rPr>
        <w:t xml:space="preserve">It welcomes the Royal Commission’s Paper on </w:t>
      </w:r>
      <w:r w:rsidR="008330D5" w:rsidRPr="008330D5">
        <w:rPr>
          <w:rFonts w:eastAsia="Times New Roman"/>
          <w:i/>
        </w:rPr>
        <w:t>Oversight and Regulatory Mechanisms Aimed at Protecting Children from Child Abuse</w:t>
      </w:r>
      <w:r w:rsidR="008330D5">
        <w:rPr>
          <w:rFonts w:eastAsia="Times New Roman"/>
        </w:rPr>
        <w:t>, and looks forward to the Royal Commission’s Final Report due at the end of 2017.</w:t>
      </w:r>
      <w:r w:rsidR="00C12C1E">
        <w:rPr>
          <w:rFonts w:eastAsia="Times New Roman"/>
        </w:rPr>
        <w:t xml:space="preserve"> </w:t>
      </w:r>
    </w:p>
    <w:p w:rsidR="0092101D" w:rsidRDefault="00C828F0" w:rsidP="0092101D">
      <w:pPr>
        <w:pStyle w:val="Action"/>
      </w:pPr>
      <w:r>
        <w:lastRenderedPageBreak/>
        <w:t xml:space="preserve"> </w:t>
      </w:r>
    </w:p>
    <w:p w:rsidR="00C31DD0" w:rsidRPr="0092101D" w:rsidRDefault="00C31DD0" w:rsidP="0092101D">
      <w:pPr>
        <w:pStyle w:val="Action"/>
      </w:pPr>
      <w:r>
        <w:t>For further information, contact:</w:t>
      </w:r>
    </w:p>
    <w:p w:rsidR="00C31DD0" w:rsidRPr="00C1686C" w:rsidRDefault="00F863C5" w:rsidP="003A511E">
      <w:pPr>
        <w:pStyle w:val="Bulletedtext"/>
      </w:pPr>
      <w:r>
        <w:t>ACT</w:t>
      </w:r>
      <w:r w:rsidR="00C31DD0" w:rsidRPr="00C1686C">
        <w:t>:</w:t>
      </w:r>
      <w:r w:rsidR="00AD1AB9">
        <w:t xml:space="preserve"> President H</w:t>
      </w:r>
      <w:r>
        <w:t>elen Watchirs</w:t>
      </w:r>
      <w:r w:rsidR="00C31DD0" w:rsidRPr="00C1686C">
        <w:t xml:space="preserve"> 0423 821 718</w:t>
      </w:r>
      <w:r>
        <w:t>, and Commissioner Karen Toohey 0408264889</w:t>
      </w:r>
    </w:p>
    <w:p w:rsidR="00C31DD0" w:rsidRPr="00C1686C" w:rsidRDefault="00C31DD0" w:rsidP="003A511E">
      <w:pPr>
        <w:pStyle w:val="Bulletedtext"/>
      </w:pPr>
      <w:r w:rsidRPr="00C1686C">
        <w:t>Northern Territ</w:t>
      </w:r>
      <w:r w:rsidR="00F863C5">
        <w:t>ory: Commissioner Sally Sievers</w:t>
      </w:r>
      <w:r w:rsidRPr="00C1686C">
        <w:t xml:space="preserve"> 08 8999 1444</w:t>
      </w:r>
    </w:p>
    <w:p w:rsidR="00C31DD0" w:rsidRDefault="00C31DD0" w:rsidP="003A511E">
      <w:pPr>
        <w:pStyle w:val="Bulletedtext"/>
      </w:pPr>
      <w:r w:rsidRPr="00C1686C">
        <w:t>Queen</w:t>
      </w:r>
      <w:r w:rsidR="00F863C5">
        <w:t>sland: Commissioner Kevin Cocks</w:t>
      </w:r>
      <w:r w:rsidRPr="00C1686C">
        <w:t xml:space="preserve"> 0402 288 419</w:t>
      </w:r>
    </w:p>
    <w:p w:rsidR="00AC0260" w:rsidRDefault="00AC0260" w:rsidP="00AC0260">
      <w:pPr>
        <w:pStyle w:val="Bulletedtext"/>
      </w:pPr>
      <w:r>
        <w:t>South Austr</w:t>
      </w:r>
      <w:r w:rsidR="00F863C5">
        <w:t>alia: Commissioner Niki Vincent</w:t>
      </w:r>
      <w:r>
        <w:t xml:space="preserve"> 0439493303</w:t>
      </w:r>
    </w:p>
    <w:p w:rsidR="00C31DD0" w:rsidRPr="00C1686C" w:rsidRDefault="00C31DD0" w:rsidP="003A511E">
      <w:pPr>
        <w:pStyle w:val="Bulletedtext"/>
      </w:pPr>
      <w:r w:rsidRPr="00C1686C">
        <w:t>Ta</w:t>
      </w:r>
      <w:r w:rsidR="000A2FD1">
        <w:t>smania: Commissioner Sarah Bolt</w:t>
      </w:r>
      <w:r w:rsidRPr="00C1686C">
        <w:t xml:space="preserve"> 0</w:t>
      </w:r>
      <w:r w:rsidR="000A2FD1">
        <w:t xml:space="preserve">429 </w:t>
      </w:r>
      <w:r w:rsidRPr="00C1686C">
        <w:t>0</w:t>
      </w:r>
      <w:r w:rsidR="000A2FD1">
        <w:t>94 365</w:t>
      </w:r>
    </w:p>
    <w:p w:rsidR="00C31DD0" w:rsidRDefault="00C31DD0" w:rsidP="003A511E">
      <w:pPr>
        <w:pStyle w:val="Bulletedtext"/>
      </w:pPr>
      <w:r w:rsidRPr="00C1686C">
        <w:t xml:space="preserve">Victoria: Commissioner </w:t>
      </w:r>
      <w:r w:rsidR="00E56D5E" w:rsidRPr="00E56D5E">
        <w:t xml:space="preserve">Kristen Hilton </w:t>
      </w:r>
      <w:r w:rsidR="0001228B" w:rsidRPr="0001228B">
        <w:t>0459 114 657</w:t>
      </w:r>
    </w:p>
    <w:p w:rsidR="00A413EE" w:rsidRDefault="0015137F" w:rsidP="003A511E">
      <w:pPr>
        <w:pStyle w:val="Bulletedtext"/>
      </w:pPr>
      <w:r>
        <w:t>NSW: A/</w:t>
      </w:r>
      <w:r w:rsidR="00A413EE">
        <w:t xml:space="preserve">g President </w:t>
      </w:r>
      <w:r w:rsidR="00343715">
        <w:t>Elizabeth</w:t>
      </w:r>
      <w:r w:rsidR="00F863C5">
        <w:t xml:space="preserve"> Wing</w:t>
      </w:r>
      <w:r w:rsidR="00A413EE">
        <w:t xml:space="preserve"> </w:t>
      </w:r>
      <w:r w:rsidR="00343715">
        <w:t>02 9268 5545</w:t>
      </w:r>
    </w:p>
    <w:p w:rsidR="0015137F" w:rsidRPr="00C1686C" w:rsidRDefault="0015137F" w:rsidP="003A511E">
      <w:pPr>
        <w:pStyle w:val="Bulletedtext"/>
      </w:pPr>
      <w:r>
        <w:t>WA: A/g Commissioner John Byrne 08 92163954</w:t>
      </w:r>
    </w:p>
    <w:p w:rsidR="00C31DD0" w:rsidRDefault="00C31DD0" w:rsidP="003A511E">
      <w:pPr>
        <w:pStyle w:val="Bulletedtext"/>
      </w:pPr>
      <w:r w:rsidRPr="00C1686C">
        <w:t xml:space="preserve">Federal: </w:t>
      </w:r>
      <w:r w:rsidR="008B6A93" w:rsidRPr="00C1686C">
        <w:t>Sarah Bamford, 0417 957 525</w:t>
      </w:r>
    </w:p>
    <w:sectPr w:rsidR="00C31DD0" w:rsidSect="003A511E">
      <w:pgSz w:w="12240" w:h="15840"/>
      <w:pgMar w:top="1418" w:right="1134" w:bottom="1134" w:left="1134" w:header="720" w:footer="2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BE4" w:rsidRDefault="002F3BE4" w:rsidP="003A511E">
      <w:r>
        <w:separator/>
      </w:r>
    </w:p>
  </w:endnote>
  <w:endnote w:type="continuationSeparator" w:id="0">
    <w:p w:rsidR="002F3BE4" w:rsidRDefault="002F3BE4" w:rsidP="003A511E">
      <w:r>
        <w:continuationSeparator/>
      </w:r>
    </w:p>
  </w:endnote>
</w:endnotes>
</file>

<file path=word/fontTable.xml><?xml version="1.0" encoding="utf-8"?>
<w:fonts xmlns:r="http://schemas.openxmlformats.org/officeDocument/2006/relationships" xmlns:w="http://schemas.openxmlformats.org/wordprocessingml/2006/main">
  <w:font w:name="Symbol">
    <w:altName w:val="Wingdings"/>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AFF" w:usb1="C0007841" w:usb2="00000009" w:usb3="00000000" w:csb0="000001FF" w:csb1="00000000"/>
  </w:font>
  <w:font w:name="Courier New">
    <w:altName w:val="Geneva"/>
    <w:panose1 w:val="02070309020205020404"/>
    <w:charset w:val="00"/>
    <w:family w:val="modern"/>
    <w:pitch w:val="fixed"/>
    <w:sig w:usb0="E0002AFF" w:usb1="C0007843" w:usb2="00000009" w:usb3="00000000" w:csb0="000001FF" w:csb1="00000000"/>
  </w:font>
  <w:font w:name="Wingdings">
    <w:altName w:val="Time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BE4" w:rsidRDefault="002F3BE4" w:rsidP="003A511E">
      <w:r>
        <w:separator/>
      </w:r>
    </w:p>
  </w:footnote>
  <w:footnote w:type="continuationSeparator" w:id="0">
    <w:p w:rsidR="002F3BE4" w:rsidRDefault="002F3BE4" w:rsidP="003A51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03271"/>
    <w:multiLevelType w:val="hybridMultilevel"/>
    <w:tmpl w:val="B28E7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E1A1060"/>
    <w:multiLevelType w:val="hybridMultilevel"/>
    <w:tmpl w:val="A7144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968060E"/>
    <w:multiLevelType w:val="hybridMultilevel"/>
    <w:tmpl w:val="CE3209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0F377F6"/>
    <w:multiLevelType w:val="hybridMultilevel"/>
    <w:tmpl w:val="7EBA1916"/>
    <w:lvl w:ilvl="0" w:tplc="2E6C4362">
      <w:numFmt w:val="bullet"/>
      <w:lvlText w:val="•"/>
      <w:lvlJc w:val="left"/>
      <w:pPr>
        <w:ind w:left="1080" w:hanging="72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55E6FFA"/>
    <w:multiLevelType w:val="hybridMultilevel"/>
    <w:tmpl w:val="9FEEF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D4B7F26"/>
    <w:multiLevelType w:val="hybridMultilevel"/>
    <w:tmpl w:val="4380E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D6A1FA0"/>
    <w:multiLevelType w:val="multilevel"/>
    <w:tmpl w:val="E6F02E10"/>
    <w:lvl w:ilvl="0">
      <w:start w:val="1"/>
      <w:numFmt w:val="decimal"/>
      <w:lvlText w:val="%1."/>
      <w:lvlJc w:val="left"/>
      <w:pPr>
        <w:tabs>
          <w:tab w:val="num" w:pos="720"/>
        </w:tabs>
        <w:ind w:left="720" w:hanging="720"/>
      </w:pPr>
    </w:lvl>
    <w:lvl w:ilvl="1">
      <w:start w:val="1"/>
      <w:numFmt w:val="decimal"/>
      <w:pStyle w:val="Heading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4EA97571"/>
    <w:multiLevelType w:val="hybridMultilevel"/>
    <w:tmpl w:val="7DF0C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CDD4DB1"/>
    <w:multiLevelType w:val="hybridMultilevel"/>
    <w:tmpl w:val="6B867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D472B02"/>
    <w:multiLevelType w:val="hybridMultilevel"/>
    <w:tmpl w:val="27681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1C80867"/>
    <w:multiLevelType w:val="hybridMultilevel"/>
    <w:tmpl w:val="239694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68BB2811"/>
    <w:multiLevelType w:val="hybridMultilevel"/>
    <w:tmpl w:val="89668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23D57D9"/>
    <w:multiLevelType w:val="hybridMultilevel"/>
    <w:tmpl w:val="F084B0F2"/>
    <w:lvl w:ilvl="0" w:tplc="C1B017F2">
      <w:start w:val="1"/>
      <w:numFmt w:val="bullet"/>
      <w:pStyle w:val="Bulletedtex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BF368A5"/>
    <w:multiLevelType w:val="hybridMultilevel"/>
    <w:tmpl w:val="AB928D42"/>
    <w:lvl w:ilvl="0" w:tplc="1EF4ED16">
      <w:start w:val="1"/>
      <w:numFmt w:val="decimal"/>
      <w:pStyle w:val="Heading2"/>
      <w:lvlText w:val="%1."/>
      <w:lvlJc w:val="left"/>
      <w:pPr>
        <w:ind w:left="360" w:hanging="360"/>
      </w:pPr>
    </w:lvl>
    <w:lvl w:ilvl="1" w:tplc="C03AEC6A">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7"/>
  </w:num>
  <w:num w:numId="3">
    <w:abstractNumId w:val="9"/>
  </w:num>
  <w:num w:numId="4">
    <w:abstractNumId w:val="3"/>
  </w:num>
  <w:num w:numId="5">
    <w:abstractNumId w:val="2"/>
  </w:num>
  <w:num w:numId="6">
    <w:abstractNumId w:val="10"/>
  </w:num>
  <w:num w:numId="7">
    <w:abstractNumId w:val="1"/>
  </w:num>
  <w:num w:numId="8">
    <w:abstractNumId w:val="5"/>
  </w:num>
  <w:num w:numId="9">
    <w:abstractNumId w:val="4"/>
  </w:num>
  <w:num w:numId="10">
    <w:abstractNumId w:val="8"/>
  </w:num>
  <w:num w:numId="11">
    <w:abstractNumId w:val="13"/>
  </w:num>
  <w:num w:numId="12">
    <w:abstractNumId w:val="13"/>
  </w:num>
  <w:num w:numId="13">
    <w:abstractNumId w:val="11"/>
  </w:num>
  <w:num w:numId="14">
    <w:abstractNumId w:val="1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AU" w:vendorID="64" w:dllVersion="131078" w:nlCheck="1" w:checkStyle="0"/>
  <w:proofState w:spelling="clean" w:grammar="clean"/>
  <w:stylePaneFormatFilter w:val="3F01"/>
  <w:defaultTabStop w:val="720"/>
  <w:characterSpacingControl w:val="doNotCompress"/>
  <w:hdrShapeDefaults>
    <o:shapedefaults v:ext="edit" spidmax="21505"/>
  </w:hdrShapeDefaults>
  <w:footnotePr>
    <w:footnote w:id="-1"/>
    <w:footnote w:id="0"/>
  </w:footnotePr>
  <w:endnotePr>
    <w:endnote w:id="-1"/>
    <w:endnote w:id="0"/>
  </w:endnotePr>
  <w:compat/>
  <w:docVars>
    <w:docVar w:name="dgnword-docGUID" w:val="{6BC73B3A-FD44-41FF-ABBC-8F2754D2D94F}"/>
    <w:docVar w:name="dgnword-eventsink" w:val="84888008"/>
  </w:docVars>
  <w:rsids>
    <w:rsidRoot w:val="00DE32B6"/>
    <w:rsid w:val="00007B57"/>
    <w:rsid w:val="00011A2D"/>
    <w:rsid w:val="0001228B"/>
    <w:rsid w:val="0002575F"/>
    <w:rsid w:val="00037B3A"/>
    <w:rsid w:val="00043BBE"/>
    <w:rsid w:val="00060D20"/>
    <w:rsid w:val="00062631"/>
    <w:rsid w:val="000A2FD1"/>
    <w:rsid w:val="000A5DF1"/>
    <w:rsid w:val="000B4907"/>
    <w:rsid w:val="000B7BFF"/>
    <w:rsid w:val="000D2790"/>
    <w:rsid w:val="000D2F81"/>
    <w:rsid w:val="000D5716"/>
    <w:rsid w:val="000D6676"/>
    <w:rsid w:val="000D6F21"/>
    <w:rsid w:val="000E3128"/>
    <w:rsid w:val="000F06FF"/>
    <w:rsid w:val="000F232B"/>
    <w:rsid w:val="00105E93"/>
    <w:rsid w:val="0011093F"/>
    <w:rsid w:val="00117473"/>
    <w:rsid w:val="0012316D"/>
    <w:rsid w:val="00125C91"/>
    <w:rsid w:val="00133089"/>
    <w:rsid w:val="0013510D"/>
    <w:rsid w:val="001458F1"/>
    <w:rsid w:val="00147D02"/>
    <w:rsid w:val="0015137F"/>
    <w:rsid w:val="00151B21"/>
    <w:rsid w:val="00163269"/>
    <w:rsid w:val="00164E00"/>
    <w:rsid w:val="00170A41"/>
    <w:rsid w:val="001831AC"/>
    <w:rsid w:val="00195FE5"/>
    <w:rsid w:val="001A2DBA"/>
    <w:rsid w:val="001A405C"/>
    <w:rsid w:val="001A7DF0"/>
    <w:rsid w:val="001B50B5"/>
    <w:rsid w:val="001C6341"/>
    <w:rsid w:val="001D5B4F"/>
    <w:rsid w:val="001E3DDA"/>
    <w:rsid w:val="001F00AB"/>
    <w:rsid w:val="001F0308"/>
    <w:rsid w:val="001F44DC"/>
    <w:rsid w:val="002102C8"/>
    <w:rsid w:val="00211C97"/>
    <w:rsid w:val="00221B76"/>
    <w:rsid w:val="00221D1E"/>
    <w:rsid w:val="0024024C"/>
    <w:rsid w:val="00240761"/>
    <w:rsid w:val="002408DE"/>
    <w:rsid w:val="00243BB4"/>
    <w:rsid w:val="002503E7"/>
    <w:rsid w:val="00251CCD"/>
    <w:rsid w:val="002703D3"/>
    <w:rsid w:val="002729A2"/>
    <w:rsid w:val="00280061"/>
    <w:rsid w:val="00283A7E"/>
    <w:rsid w:val="00291406"/>
    <w:rsid w:val="002B3E9A"/>
    <w:rsid w:val="002B72FA"/>
    <w:rsid w:val="002D6C88"/>
    <w:rsid w:val="002E0563"/>
    <w:rsid w:val="002F3692"/>
    <w:rsid w:val="002F3BE4"/>
    <w:rsid w:val="003008C0"/>
    <w:rsid w:val="0031000B"/>
    <w:rsid w:val="00315FA1"/>
    <w:rsid w:val="00343715"/>
    <w:rsid w:val="00345618"/>
    <w:rsid w:val="00346176"/>
    <w:rsid w:val="00350F40"/>
    <w:rsid w:val="00356839"/>
    <w:rsid w:val="00360E29"/>
    <w:rsid w:val="00361844"/>
    <w:rsid w:val="00363492"/>
    <w:rsid w:val="00364C91"/>
    <w:rsid w:val="0036513E"/>
    <w:rsid w:val="0037501D"/>
    <w:rsid w:val="003974C9"/>
    <w:rsid w:val="003A2DA4"/>
    <w:rsid w:val="003A3CD3"/>
    <w:rsid w:val="003A511E"/>
    <w:rsid w:val="003B7643"/>
    <w:rsid w:val="003C433E"/>
    <w:rsid w:val="003F096A"/>
    <w:rsid w:val="003F0EBF"/>
    <w:rsid w:val="003F1CAC"/>
    <w:rsid w:val="00402D47"/>
    <w:rsid w:val="004042E5"/>
    <w:rsid w:val="00406A61"/>
    <w:rsid w:val="0041717D"/>
    <w:rsid w:val="00422BE5"/>
    <w:rsid w:val="004276ED"/>
    <w:rsid w:val="00427A53"/>
    <w:rsid w:val="0043360B"/>
    <w:rsid w:val="00436088"/>
    <w:rsid w:val="00441079"/>
    <w:rsid w:val="00454DBB"/>
    <w:rsid w:val="0046485E"/>
    <w:rsid w:val="00473090"/>
    <w:rsid w:val="00476022"/>
    <w:rsid w:val="00485566"/>
    <w:rsid w:val="00487441"/>
    <w:rsid w:val="00492F54"/>
    <w:rsid w:val="004945D4"/>
    <w:rsid w:val="004B0957"/>
    <w:rsid w:val="004B1E05"/>
    <w:rsid w:val="004B3801"/>
    <w:rsid w:val="004C5D2C"/>
    <w:rsid w:val="004D1584"/>
    <w:rsid w:val="004E122B"/>
    <w:rsid w:val="004E25DB"/>
    <w:rsid w:val="004F0272"/>
    <w:rsid w:val="0053142F"/>
    <w:rsid w:val="00545C4F"/>
    <w:rsid w:val="005518CA"/>
    <w:rsid w:val="00561779"/>
    <w:rsid w:val="00561F78"/>
    <w:rsid w:val="0056208D"/>
    <w:rsid w:val="00567749"/>
    <w:rsid w:val="00573B94"/>
    <w:rsid w:val="00583FC6"/>
    <w:rsid w:val="005A136A"/>
    <w:rsid w:val="005A1A82"/>
    <w:rsid w:val="005A2079"/>
    <w:rsid w:val="005A5F4E"/>
    <w:rsid w:val="005D2ADA"/>
    <w:rsid w:val="005E1A5E"/>
    <w:rsid w:val="005E1E69"/>
    <w:rsid w:val="005E2631"/>
    <w:rsid w:val="005E41D3"/>
    <w:rsid w:val="005F1B1B"/>
    <w:rsid w:val="00605489"/>
    <w:rsid w:val="00605E13"/>
    <w:rsid w:val="006067E5"/>
    <w:rsid w:val="006139ED"/>
    <w:rsid w:val="00621CD7"/>
    <w:rsid w:val="00632095"/>
    <w:rsid w:val="00654BFC"/>
    <w:rsid w:val="00672B35"/>
    <w:rsid w:val="00675917"/>
    <w:rsid w:val="0067619D"/>
    <w:rsid w:val="00695E6C"/>
    <w:rsid w:val="006A4E21"/>
    <w:rsid w:val="006B4BA0"/>
    <w:rsid w:val="006C25F7"/>
    <w:rsid w:val="006C7A4C"/>
    <w:rsid w:val="006E0ABB"/>
    <w:rsid w:val="00706B93"/>
    <w:rsid w:val="00707354"/>
    <w:rsid w:val="0074120B"/>
    <w:rsid w:val="007418A6"/>
    <w:rsid w:val="00750FAC"/>
    <w:rsid w:val="007575C8"/>
    <w:rsid w:val="00766EBD"/>
    <w:rsid w:val="00772AE0"/>
    <w:rsid w:val="00776CEE"/>
    <w:rsid w:val="00783307"/>
    <w:rsid w:val="007C42A3"/>
    <w:rsid w:val="007D5AD9"/>
    <w:rsid w:val="007E1A50"/>
    <w:rsid w:val="00805549"/>
    <w:rsid w:val="00806EB1"/>
    <w:rsid w:val="00822820"/>
    <w:rsid w:val="008330D5"/>
    <w:rsid w:val="00833E2E"/>
    <w:rsid w:val="00840B6C"/>
    <w:rsid w:val="00856A49"/>
    <w:rsid w:val="00867A50"/>
    <w:rsid w:val="008716CB"/>
    <w:rsid w:val="00874A06"/>
    <w:rsid w:val="008845BA"/>
    <w:rsid w:val="00887023"/>
    <w:rsid w:val="008903C5"/>
    <w:rsid w:val="0089588A"/>
    <w:rsid w:val="008A065E"/>
    <w:rsid w:val="008B6A93"/>
    <w:rsid w:val="008C1014"/>
    <w:rsid w:val="008C262F"/>
    <w:rsid w:val="008C73EC"/>
    <w:rsid w:val="008D23A2"/>
    <w:rsid w:val="008E7996"/>
    <w:rsid w:val="008F39E8"/>
    <w:rsid w:val="008F4F1A"/>
    <w:rsid w:val="008F7681"/>
    <w:rsid w:val="00901610"/>
    <w:rsid w:val="009063DA"/>
    <w:rsid w:val="0091167E"/>
    <w:rsid w:val="00911C9B"/>
    <w:rsid w:val="00912DDF"/>
    <w:rsid w:val="0092101D"/>
    <w:rsid w:val="00927D7C"/>
    <w:rsid w:val="00930D2E"/>
    <w:rsid w:val="009310A7"/>
    <w:rsid w:val="009502A6"/>
    <w:rsid w:val="00961FEB"/>
    <w:rsid w:val="0096371B"/>
    <w:rsid w:val="00982C2F"/>
    <w:rsid w:val="009856A6"/>
    <w:rsid w:val="00994F9F"/>
    <w:rsid w:val="009A178E"/>
    <w:rsid w:val="009B15EC"/>
    <w:rsid w:val="009B1EA9"/>
    <w:rsid w:val="009C6915"/>
    <w:rsid w:val="009C6A14"/>
    <w:rsid w:val="009C775A"/>
    <w:rsid w:val="009D21B3"/>
    <w:rsid w:val="009D5240"/>
    <w:rsid w:val="009F0526"/>
    <w:rsid w:val="009F4375"/>
    <w:rsid w:val="00A114B4"/>
    <w:rsid w:val="00A133A5"/>
    <w:rsid w:val="00A331C4"/>
    <w:rsid w:val="00A413EE"/>
    <w:rsid w:val="00A54107"/>
    <w:rsid w:val="00A565A0"/>
    <w:rsid w:val="00A60A30"/>
    <w:rsid w:val="00A673E5"/>
    <w:rsid w:val="00A87C72"/>
    <w:rsid w:val="00AB1F5D"/>
    <w:rsid w:val="00AC0260"/>
    <w:rsid w:val="00AC1673"/>
    <w:rsid w:val="00AC25B0"/>
    <w:rsid w:val="00AC43BC"/>
    <w:rsid w:val="00AD1AB9"/>
    <w:rsid w:val="00AD60C7"/>
    <w:rsid w:val="00B16875"/>
    <w:rsid w:val="00B17A47"/>
    <w:rsid w:val="00B344BB"/>
    <w:rsid w:val="00B465EF"/>
    <w:rsid w:val="00B478AE"/>
    <w:rsid w:val="00B528BC"/>
    <w:rsid w:val="00B54259"/>
    <w:rsid w:val="00B61BA0"/>
    <w:rsid w:val="00B633B3"/>
    <w:rsid w:val="00B6434B"/>
    <w:rsid w:val="00B75FE4"/>
    <w:rsid w:val="00B83E3B"/>
    <w:rsid w:val="00B90C1E"/>
    <w:rsid w:val="00B95BE8"/>
    <w:rsid w:val="00BA4730"/>
    <w:rsid w:val="00BB183C"/>
    <w:rsid w:val="00BD2B44"/>
    <w:rsid w:val="00BD427E"/>
    <w:rsid w:val="00BD5907"/>
    <w:rsid w:val="00C07C22"/>
    <w:rsid w:val="00C12C1E"/>
    <w:rsid w:val="00C1470E"/>
    <w:rsid w:val="00C156D2"/>
    <w:rsid w:val="00C1686C"/>
    <w:rsid w:val="00C20864"/>
    <w:rsid w:val="00C21D1B"/>
    <w:rsid w:val="00C31C0D"/>
    <w:rsid w:val="00C31DD0"/>
    <w:rsid w:val="00C472DB"/>
    <w:rsid w:val="00C50DE3"/>
    <w:rsid w:val="00C54228"/>
    <w:rsid w:val="00C7304A"/>
    <w:rsid w:val="00C75B99"/>
    <w:rsid w:val="00C75FA6"/>
    <w:rsid w:val="00C828F0"/>
    <w:rsid w:val="00C907BE"/>
    <w:rsid w:val="00CC2126"/>
    <w:rsid w:val="00CC5E8A"/>
    <w:rsid w:val="00CD29E3"/>
    <w:rsid w:val="00CD7438"/>
    <w:rsid w:val="00CE0902"/>
    <w:rsid w:val="00CE4044"/>
    <w:rsid w:val="00CF2F67"/>
    <w:rsid w:val="00CF37E3"/>
    <w:rsid w:val="00D10D73"/>
    <w:rsid w:val="00D2187B"/>
    <w:rsid w:val="00D23514"/>
    <w:rsid w:val="00D264B4"/>
    <w:rsid w:val="00D31B91"/>
    <w:rsid w:val="00D4736B"/>
    <w:rsid w:val="00D55702"/>
    <w:rsid w:val="00D57ECB"/>
    <w:rsid w:val="00D62D40"/>
    <w:rsid w:val="00DA2ABB"/>
    <w:rsid w:val="00DA4576"/>
    <w:rsid w:val="00DB0076"/>
    <w:rsid w:val="00DB7AEA"/>
    <w:rsid w:val="00DC2B3E"/>
    <w:rsid w:val="00DC472C"/>
    <w:rsid w:val="00DD1FB3"/>
    <w:rsid w:val="00DD4C5D"/>
    <w:rsid w:val="00DE32B6"/>
    <w:rsid w:val="00DF5A4A"/>
    <w:rsid w:val="00E03B4A"/>
    <w:rsid w:val="00E10ACB"/>
    <w:rsid w:val="00E26362"/>
    <w:rsid w:val="00E31B6A"/>
    <w:rsid w:val="00E3741E"/>
    <w:rsid w:val="00E422C0"/>
    <w:rsid w:val="00E43167"/>
    <w:rsid w:val="00E44247"/>
    <w:rsid w:val="00E45F7E"/>
    <w:rsid w:val="00E508BD"/>
    <w:rsid w:val="00E56D5E"/>
    <w:rsid w:val="00E56E0C"/>
    <w:rsid w:val="00E75466"/>
    <w:rsid w:val="00E81082"/>
    <w:rsid w:val="00E835A5"/>
    <w:rsid w:val="00E955D0"/>
    <w:rsid w:val="00EB30E6"/>
    <w:rsid w:val="00EB5B0C"/>
    <w:rsid w:val="00EB7A4A"/>
    <w:rsid w:val="00EC0AB1"/>
    <w:rsid w:val="00EC0DB2"/>
    <w:rsid w:val="00F00D9B"/>
    <w:rsid w:val="00F074A4"/>
    <w:rsid w:val="00F1104C"/>
    <w:rsid w:val="00F136AD"/>
    <w:rsid w:val="00F146C2"/>
    <w:rsid w:val="00F2619E"/>
    <w:rsid w:val="00F31720"/>
    <w:rsid w:val="00F37522"/>
    <w:rsid w:val="00F41F75"/>
    <w:rsid w:val="00F46F29"/>
    <w:rsid w:val="00F60248"/>
    <w:rsid w:val="00F64AB8"/>
    <w:rsid w:val="00F67121"/>
    <w:rsid w:val="00F67909"/>
    <w:rsid w:val="00F7154B"/>
    <w:rsid w:val="00F863C5"/>
    <w:rsid w:val="00F8678A"/>
    <w:rsid w:val="00F9222A"/>
    <w:rsid w:val="00F965C5"/>
    <w:rsid w:val="00F967FA"/>
    <w:rsid w:val="00FB232D"/>
    <w:rsid w:val="00FB3C69"/>
    <w:rsid w:val="00FB3E8E"/>
    <w:rsid w:val="00FC53F5"/>
    <w:rsid w:val="00FD66A1"/>
    <w:rsid w:val="00FE6CAB"/>
    <w:rsid w:val="00FE7746"/>
    <w:rsid w:val="00FF0B1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A511E"/>
    <w:pPr>
      <w:tabs>
        <w:tab w:val="left" w:pos="993"/>
      </w:tabs>
      <w:spacing w:before="60" w:after="180" w:line="276" w:lineRule="auto"/>
      <w:ind w:right="-261"/>
    </w:pPr>
    <w:rPr>
      <w:rFonts w:ascii="Arial" w:hAnsi="Arial" w:cs="Arial"/>
      <w:sz w:val="22"/>
      <w:szCs w:val="22"/>
      <w:lang w:eastAsia="en-US"/>
    </w:rPr>
  </w:style>
  <w:style w:type="paragraph" w:styleId="Heading1">
    <w:name w:val="heading 1"/>
    <w:basedOn w:val="Normal"/>
    <w:next w:val="Normal"/>
    <w:link w:val="Heading1Char"/>
    <w:qFormat/>
    <w:rsid w:val="003A511E"/>
    <w:pPr>
      <w:keepNext/>
      <w:spacing w:before="360" w:after="120" w:line="240" w:lineRule="auto"/>
      <w:outlineLvl w:val="0"/>
    </w:pPr>
    <w:rPr>
      <w:b/>
      <w:iCs/>
      <w:color w:val="339966"/>
      <w:sz w:val="28"/>
      <w:szCs w:val="28"/>
    </w:rPr>
  </w:style>
  <w:style w:type="paragraph" w:styleId="Heading2">
    <w:name w:val="heading 2"/>
    <w:basedOn w:val="Normal"/>
    <w:next w:val="Normal"/>
    <w:link w:val="Heading2Char"/>
    <w:semiHidden/>
    <w:unhideWhenUsed/>
    <w:qFormat/>
    <w:locked/>
    <w:rsid w:val="003A511E"/>
    <w:pPr>
      <w:keepNext/>
      <w:numPr>
        <w:numId w:val="12"/>
      </w:numPr>
      <w:spacing w:before="240"/>
      <w:outlineLvl w:val="1"/>
    </w:pPr>
    <w:rPr>
      <w:rFonts w:ascii="Arial Black" w:eastAsia="Times New Roman" w:hAnsi="Arial Black" w:cs="Times New Roman"/>
      <w:b/>
      <w:bCs/>
      <w:iCs/>
      <w:sz w:val="28"/>
      <w:szCs w:val="28"/>
    </w:rPr>
  </w:style>
  <w:style w:type="paragraph" w:styleId="Heading3">
    <w:name w:val="heading 3"/>
    <w:basedOn w:val="Heading2"/>
    <w:next w:val="Normal"/>
    <w:link w:val="Heading3Char"/>
    <w:semiHidden/>
    <w:unhideWhenUsed/>
    <w:qFormat/>
    <w:locked/>
    <w:rsid w:val="003A511E"/>
    <w:pPr>
      <w:numPr>
        <w:ilvl w:val="1"/>
        <w:numId w:val="15"/>
      </w:numPr>
      <w:ind w:hanging="108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A511E"/>
    <w:rPr>
      <w:rFonts w:ascii="Arial" w:hAnsi="Arial" w:cs="Arial"/>
      <w:b/>
      <w:iCs/>
      <w:color w:val="339966"/>
      <w:sz w:val="28"/>
      <w:szCs w:val="28"/>
      <w:lang w:eastAsia="en-US"/>
    </w:rPr>
  </w:style>
  <w:style w:type="table" w:styleId="TableGrid">
    <w:name w:val="Table Grid"/>
    <w:basedOn w:val="TableNormal"/>
    <w:uiPriority w:val="99"/>
    <w:rsid w:val="00CF2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CF2F67"/>
    <w:rPr>
      <w:rFonts w:cs="Times New Roman"/>
      <w:color w:val="0000FF"/>
      <w:u w:val="single"/>
    </w:rPr>
  </w:style>
  <w:style w:type="paragraph" w:customStyle="1" w:styleId="Li">
    <w:name w:val="Li"/>
    <w:basedOn w:val="Normal"/>
    <w:uiPriority w:val="99"/>
    <w:rsid w:val="0011093F"/>
  </w:style>
  <w:style w:type="paragraph" w:styleId="Header">
    <w:name w:val="header"/>
    <w:basedOn w:val="Normal"/>
    <w:link w:val="HeaderChar"/>
    <w:uiPriority w:val="99"/>
    <w:rsid w:val="00567749"/>
    <w:pPr>
      <w:tabs>
        <w:tab w:val="center" w:pos="4536"/>
        <w:tab w:val="right" w:pos="9072"/>
      </w:tabs>
      <w:overflowPunct w:val="0"/>
      <w:autoSpaceDE w:val="0"/>
      <w:autoSpaceDN w:val="0"/>
      <w:adjustRightInd w:val="0"/>
      <w:jc w:val="center"/>
    </w:pPr>
    <w:rPr>
      <w:rFonts w:eastAsia="Times New Roman"/>
      <w:szCs w:val="20"/>
    </w:rPr>
  </w:style>
  <w:style w:type="character" w:customStyle="1" w:styleId="HeaderChar">
    <w:name w:val="Header Char"/>
    <w:link w:val="Header"/>
    <w:uiPriority w:val="99"/>
    <w:locked/>
    <w:rsid w:val="00567749"/>
    <w:rPr>
      <w:rFonts w:ascii="Arial" w:hAnsi="Arial" w:cs="Times New Roman"/>
      <w:sz w:val="22"/>
      <w:lang w:eastAsia="en-US"/>
    </w:rPr>
  </w:style>
  <w:style w:type="paragraph" w:styleId="PlainText">
    <w:name w:val="Plain Text"/>
    <w:basedOn w:val="Normal"/>
    <w:link w:val="PlainTextChar"/>
    <w:uiPriority w:val="99"/>
    <w:rsid w:val="00B83E3B"/>
    <w:rPr>
      <w:szCs w:val="21"/>
    </w:rPr>
  </w:style>
  <w:style w:type="character" w:customStyle="1" w:styleId="PlainTextChar">
    <w:name w:val="Plain Text Char"/>
    <w:link w:val="PlainText"/>
    <w:uiPriority w:val="99"/>
    <w:locked/>
    <w:rsid w:val="00B83E3B"/>
    <w:rPr>
      <w:rFonts w:cs="Times New Roman"/>
      <w:sz w:val="21"/>
      <w:lang w:eastAsia="en-US"/>
    </w:rPr>
  </w:style>
  <w:style w:type="character" w:styleId="CommentReference">
    <w:name w:val="annotation reference"/>
    <w:uiPriority w:val="99"/>
    <w:rsid w:val="00B344BB"/>
    <w:rPr>
      <w:rFonts w:cs="Times New Roman"/>
      <w:sz w:val="16"/>
    </w:rPr>
  </w:style>
  <w:style w:type="paragraph" w:styleId="CommentText">
    <w:name w:val="annotation text"/>
    <w:basedOn w:val="Normal"/>
    <w:link w:val="CommentTextChar"/>
    <w:uiPriority w:val="99"/>
    <w:rsid w:val="00B344BB"/>
    <w:rPr>
      <w:sz w:val="20"/>
      <w:szCs w:val="20"/>
    </w:rPr>
  </w:style>
  <w:style w:type="character" w:customStyle="1" w:styleId="CommentTextChar">
    <w:name w:val="Comment Text Char"/>
    <w:link w:val="CommentText"/>
    <w:uiPriority w:val="99"/>
    <w:locked/>
    <w:rsid w:val="00B344BB"/>
    <w:rPr>
      <w:rFonts w:cs="Times New Roman"/>
      <w:lang w:val="en-GB" w:eastAsia="en-GB"/>
    </w:rPr>
  </w:style>
  <w:style w:type="paragraph" w:styleId="CommentSubject">
    <w:name w:val="annotation subject"/>
    <w:basedOn w:val="CommentText"/>
    <w:next w:val="CommentText"/>
    <w:link w:val="CommentSubjectChar"/>
    <w:uiPriority w:val="99"/>
    <w:rsid w:val="00B344BB"/>
    <w:rPr>
      <w:b/>
      <w:bCs/>
    </w:rPr>
  </w:style>
  <w:style w:type="character" w:customStyle="1" w:styleId="CommentSubjectChar">
    <w:name w:val="Comment Subject Char"/>
    <w:link w:val="CommentSubject"/>
    <w:uiPriority w:val="99"/>
    <w:locked/>
    <w:rsid w:val="00B344BB"/>
    <w:rPr>
      <w:rFonts w:cs="Times New Roman"/>
      <w:b/>
      <w:lang w:val="en-GB" w:eastAsia="en-GB"/>
    </w:rPr>
  </w:style>
  <w:style w:type="paragraph" w:styleId="BalloonText">
    <w:name w:val="Balloon Text"/>
    <w:basedOn w:val="Normal"/>
    <w:link w:val="BalloonTextChar"/>
    <w:uiPriority w:val="99"/>
    <w:rsid w:val="00B344BB"/>
    <w:rPr>
      <w:rFonts w:ascii="Tahoma" w:hAnsi="Tahoma"/>
      <w:sz w:val="16"/>
      <w:szCs w:val="16"/>
    </w:rPr>
  </w:style>
  <w:style w:type="character" w:customStyle="1" w:styleId="BalloonTextChar">
    <w:name w:val="Balloon Text Char"/>
    <w:link w:val="BalloonText"/>
    <w:uiPriority w:val="99"/>
    <w:locked/>
    <w:rsid w:val="00B344BB"/>
    <w:rPr>
      <w:rFonts w:ascii="Tahoma" w:hAnsi="Tahoma" w:cs="Times New Roman"/>
      <w:sz w:val="16"/>
      <w:lang w:val="en-GB" w:eastAsia="en-GB"/>
    </w:rPr>
  </w:style>
  <w:style w:type="paragraph" w:styleId="Revision">
    <w:name w:val="Revision"/>
    <w:hidden/>
    <w:uiPriority w:val="99"/>
    <w:semiHidden/>
    <w:rsid w:val="00545C4F"/>
    <w:rPr>
      <w:sz w:val="24"/>
      <w:szCs w:val="24"/>
      <w:lang w:val="en-GB" w:eastAsia="en-GB"/>
    </w:rPr>
  </w:style>
  <w:style w:type="character" w:styleId="Emphasis">
    <w:name w:val="Emphasis"/>
    <w:uiPriority w:val="20"/>
    <w:qFormat/>
    <w:rsid w:val="008C73EC"/>
    <w:rPr>
      <w:rFonts w:cs="Times New Roman"/>
      <w:b/>
    </w:rPr>
  </w:style>
  <w:style w:type="character" w:customStyle="1" w:styleId="st1">
    <w:name w:val="st1"/>
    <w:uiPriority w:val="99"/>
    <w:rsid w:val="008C73EC"/>
  </w:style>
  <w:style w:type="paragraph" w:styleId="Footer">
    <w:name w:val="footer"/>
    <w:basedOn w:val="Normal"/>
    <w:link w:val="FooterChar"/>
    <w:uiPriority w:val="99"/>
    <w:unhideWhenUsed/>
    <w:rsid w:val="00F60248"/>
    <w:pPr>
      <w:tabs>
        <w:tab w:val="center" w:pos="4513"/>
        <w:tab w:val="right" w:pos="9026"/>
      </w:tabs>
    </w:pPr>
  </w:style>
  <w:style w:type="character" w:customStyle="1" w:styleId="FooterChar">
    <w:name w:val="Footer Char"/>
    <w:link w:val="Footer"/>
    <w:uiPriority w:val="99"/>
    <w:rsid w:val="00F60248"/>
    <w:rPr>
      <w:sz w:val="24"/>
      <w:szCs w:val="24"/>
      <w:lang w:val="en-GB" w:eastAsia="en-GB"/>
    </w:rPr>
  </w:style>
  <w:style w:type="paragraph" w:customStyle="1" w:styleId="Action">
    <w:name w:val="Action"/>
    <w:basedOn w:val="Normal"/>
    <w:link w:val="ActionChar"/>
    <w:qFormat/>
    <w:rsid w:val="003A511E"/>
    <w:pPr>
      <w:tabs>
        <w:tab w:val="clear" w:pos="993"/>
        <w:tab w:val="left" w:pos="1701"/>
      </w:tabs>
      <w:spacing w:before="240" w:after="240"/>
      <w:ind w:left="1701" w:hanging="1701"/>
    </w:pPr>
    <w:rPr>
      <w:b/>
    </w:rPr>
  </w:style>
  <w:style w:type="character" w:customStyle="1" w:styleId="ActionChar">
    <w:name w:val="Action Char"/>
    <w:link w:val="Action"/>
    <w:rsid w:val="003A511E"/>
    <w:rPr>
      <w:rFonts w:ascii="Arial" w:hAnsi="Arial" w:cs="Arial"/>
      <w:b/>
      <w:sz w:val="22"/>
      <w:szCs w:val="22"/>
      <w:lang w:eastAsia="en-US"/>
    </w:rPr>
  </w:style>
  <w:style w:type="character" w:customStyle="1" w:styleId="Heading2Char">
    <w:name w:val="Heading 2 Char"/>
    <w:link w:val="Heading2"/>
    <w:semiHidden/>
    <w:rsid w:val="003A511E"/>
    <w:rPr>
      <w:rFonts w:ascii="Arial Black" w:eastAsia="Times New Roman" w:hAnsi="Arial Black"/>
      <w:b/>
      <w:bCs/>
      <w:iCs/>
      <w:sz w:val="28"/>
      <w:szCs w:val="28"/>
      <w:lang w:eastAsia="en-US"/>
    </w:rPr>
  </w:style>
  <w:style w:type="character" w:customStyle="1" w:styleId="Heading3Char">
    <w:name w:val="Heading 3 Char"/>
    <w:link w:val="Heading3"/>
    <w:semiHidden/>
    <w:rsid w:val="003A511E"/>
    <w:rPr>
      <w:rFonts w:ascii="Arial Black" w:eastAsia="Times New Roman" w:hAnsi="Arial Black"/>
      <w:b/>
      <w:bCs/>
      <w:iCs/>
      <w:sz w:val="28"/>
      <w:szCs w:val="28"/>
      <w:lang w:eastAsia="en-US"/>
    </w:rPr>
  </w:style>
  <w:style w:type="paragraph" w:styleId="Title">
    <w:name w:val="Title"/>
    <w:basedOn w:val="Normal"/>
    <w:next w:val="Normal"/>
    <w:link w:val="TitleChar"/>
    <w:qFormat/>
    <w:locked/>
    <w:rsid w:val="003A511E"/>
    <w:pPr>
      <w:spacing w:line="240" w:lineRule="auto"/>
      <w:jc w:val="center"/>
    </w:pPr>
    <w:rPr>
      <w:b/>
      <w:color w:val="339966"/>
      <w:sz w:val="36"/>
      <w:szCs w:val="36"/>
    </w:rPr>
  </w:style>
  <w:style w:type="character" w:customStyle="1" w:styleId="TitleChar">
    <w:name w:val="Title Char"/>
    <w:link w:val="Title"/>
    <w:rsid w:val="003A511E"/>
    <w:rPr>
      <w:rFonts w:ascii="Arial" w:hAnsi="Arial" w:cs="Arial"/>
      <w:b/>
      <w:color w:val="339966"/>
      <w:sz w:val="36"/>
      <w:szCs w:val="36"/>
      <w:lang w:eastAsia="en-US"/>
    </w:rPr>
  </w:style>
  <w:style w:type="paragraph" w:styleId="Subtitle">
    <w:name w:val="Subtitle"/>
    <w:basedOn w:val="Title"/>
    <w:next w:val="Normal"/>
    <w:link w:val="SubtitleChar"/>
    <w:qFormat/>
    <w:locked/>
    <w:rsid w:val="003A511E"/>
    <w:pPr>
      <w:spacing w:after="120"/>
      <w:ind w:right="0"/>
    </w:pPr>
  </w:style>
  <w:style w:type="character" w:customStyle="1" w:styleId="SubtitleChar">
    <w:name w:val="Subtitle Char"/>
    <w:link w:val="Subtitle"/>
    <w:rsid w:val="003A511E"/>
    <w:rPr>
      <w:rFonts w:ascii="Arial" w:hAnsi="Arial" w:cs="Arial"/>
      <w:b/>
      <w:color w:val="339966"/>
      <w:sz w:val="36"/>
      <w:szCs w:val="36"/>
      <w:lang w:eastAsia="en-US"/>
    </w:rPr>
  </w:style>
  <w:style w:type="character" w:styleId="Strong">
    <w:name w:val="Strong"/>
    <w:qFormat/>
    <w:locked/>
    <w:rsid w:val="003A511E"/>
    <w:rPr>
      <w:b/>
      <w:bCs/>
      <w:color w:val="1C9441"/>
      <w:sz w:val="24"/>
      <w:szCs w:val="24"/>
    </w:rPr>
  </w:style>
  <w:style w:type="paragraph" w:customStyle="1" w:styleId="Bulletedtext">
    <w:name w:val="Bulleted text"/>
    <w:basedOn w:val="Normal"/>
    <w:link w:val="BulletedtextChar"/>
    <w:qFormat/>
    <w:rsid w:val="003A511E"/>
    <w:pPr>
      <w:numPr>
        <w:numId w:val="14"/>
      </w:numPr>
      <w:spacing w:after="0"/>
      <w:ind w:left="714" w:hanging="357"/>
    </w:pPr>
  </w:style>
  <w:style w:type="character" w:customStyle="1" w:styleId="BulletedtextChar">
    <w:name w:val="Bulleted text Char"/>
    <w:link w:val="Bulletedtext"/>
    <w:rsid w:val="003A511E"/>
    <w:rPr>
      <w:rFonts w:ascii="Arial" w:hAnsi="Arial" w:cs="Arial"/>
      <w:sz w:val="22"/>
      <w:szCs w:val="22"/>
      <w:lang w:eastAsia="en-US"/>
    </w:rPr>
  </w:style>
  <w:style w:type="character" w:styleId="FollowedHyperlink">
    <w:name w:val="FollowedHyperlink"/>
    <w:basedOn w:val="DefaultParagraphFont"/>
    <w:uiPriority w:val="99"/>
    <w:semiHidden/>
    <w:unhideWhenUsed/>
    <w:rsid w:val="005E1E69"/>
    <w:rPr>
      <w:color w:val="800080" w:themeColor="followedHyperlink"/>
      <w:u w:val="single"/>
    </w:rPr>
  </w:style>
  <w:style w:type="paragraph" w:styleId="EndnoteText">
    <w:name w:val="endnote text"/>
    <w:basedOn w:val="Normal"/>
    <w:link w:val="EndnoteTextChar"/>
    <w:uiPriority w:val="99"/>
    <w:semiHidden/>
    <w:unhideWhenUsed/>
    <w:rsid w:val="00DC2B3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DC2B3E"/>
    <w:rPr>
      <w:rFonts w:ascii="Arial" w:hAnsi="Arial" w:cs="Arial"/>
      <w:lang w:eastAsia="en-US"/>
    </w:rPr>
  </w:style>
  <w:style w:type="character" w:styleId="EndnoteReference">
    <w:name w:val="endnote reference"/>
    <w:basedOn w:val="DefaultParagraphFont"/>
    <w:uiPriority w:val="99"/>
    <w:semiHidden/>
    <w:unhideWhenUsed/>
    <w:rsid w:val="00DC2B3E"/>
    <w:rPr>
      <w:vertAlign w:val="superscript"/>
    </w:rPr>
  </w:style>
  <w:style w:type="paragraph" w:styleId="DocumentMap">
    <w:name w:val="Document Map"/>
    <w:basedOn w:val="Normal"/>
    <w:link w:val="DocumentMapChar"/>
    <w:uiPriority w:val="99"/>
    <w:semiHidden/>
    <w:unhideWhenUsed/>
    <w:rsid w:val="001C6341"/>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C634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20151653">
      <w:bodyDiv w:val="1"/>
      <w:marLeft w:val="0"/>
      <w:marRight w:val="0"/>
      <w:marTop w:val="0"/>
      <w:marBottom w:val="0"/>
      <w:divBdr>
        <w:top w:val="none" w:sz="0" w:space="0" w:color="auto"/>
        <w:left w:val="none" w:sz="0" w:space="0" w:color="auto"/>
        <w:bottom w:val="none" w:sz="0" w:space="0" w:color="auto"/>
        <w:right w:val="none" w:sz="0" w:space="0" w:color="auto"/>
      </w:divBdr>
    </w:div>
    <w:div w:id="151020837">
      <w:bodyDiv w:val="1"/>
      <w:marLeft w:val="0"/>
      <w:marRight w:val="0"/>
      <w:marTop w:val="0"/>
      <w:marBottom w:val="0"/>
      <w:divBdr>
        <w:top w:val="none" w:sz="0" w:space="0" w:color="auto"/>
        <w:left w:val="none" w:sz="0" w:space="0" w:color="auto"/>
        <w:bottom w:val="none" w:sz="0" w:space="0" w:color="auto"/>
        <w:right w:val="none" w:sz="0" w:space="0" w:color="auto"/>
      </w:divBdr>
    </w:div>
    <w:div w:id="1063872230">
      <w:marLeft w:val="0"/>
      <w:marRight w:val="0"/>
      <w:marTop w:val="0"/>
      <w:marBottom w:val="0"/>
      <w:divBdr>
        <w:top w:val="none" w:sz="0" w:space="0" w:color="auto"/>
        <w:left w:val="none" w:sz="0" w:space="0" w:color="auto"/>
        <w:bottom w:val="none" w:sz="0" w:space="0" w:color="auto"/>
        <w:right w:val="none" w:sz="0" w:space="0" w:color="auto"/>
      </w:divBdr>
    </w:div>
    <w:div w:id="1063872231">
      <w:marLeft w:val="0"/>
      <w:marRight w:val="0"/>
      <w:marTop w:val="0"/>
      <w:marBottom w:val="0"/>
      <w:divBdr>
        <w:top w:val="none" w:sz="0" w:space="0" w:color="auto"/>
        <w:left w:val="none" w:sz="0" w:space="0" w:color="auto"/>
        <w:bottom w:val="none" w:sz="0" w:space="0" w:color="auto"/>
        <w:right w:val="none" w:sz="0" w:space="0" w:color="auto"/>
      </w:divBdr>
    </w:div>
    <w:div w:id="1063872232">
      <w:marLeft w:val="0"/>
      <w:marRight w:val="0"/>
      <w:marTop w:val="0"/>
      <w:marBottom w:val="0"/>
      <w:divBdr>
        <w:top w:val="none" w:sz="0" w:space="0" w:color="auto"/>
        <w:left w:val="none" w:sz="0" w:space="0" w:color="auto"/>
        <w:bottom w:val="none" w:sz="0" w:space="0" w:color="auto"/>
        <w:right w:val="none" w:sz="0" w:space="0" w:color="auto"/>
      </w:divBdr>
    </w:div>
    <w:div w:id="1063872233">
      <w:marLeft w:val="0"/>
      <w:marRight w:val="0"/>
      <w:marTop w:val="0"/>
      <w:marBottom w:val="0"/>
      <w:divBdr>
        <w:top w:val="none" w:sz="0" w:space="0" w:color="auto"/>
        <w:left w:val="none" w:sz="0" w:space="0" w:color="auto"/>
        <w:bottom w:val="none" w:sz="0" w:space="0" w:color="auto"/>
        <w:right w:val="none" w:sz="0" w:space="0" w:color="auto"/>
      </w:divBdr>
    </w:div>
    <w:div w:id="1063872234">
      <w:marLeft w:val="0"/>
      <w:marRight w:val="0"/>
      <w:marTop w:val="0"/>
      <w:marBottom w:val="0"/>
      <w:divBdr>
        <w:top w:val="none" w:sz="0" w:space="0" w:color="auto"/>
        <w:left w:val="none" w:sz="0" w:space="0" w:color="auto"/>
        <w:bottom w:val="none" w:sz="0" w:space="0" w:color="auto"/>
        <w:right w:val="none" w:sz="0" w:space="0" w:color="auto"/>
      </w:divBdr>
    </w:div>
    <w:div w:id="1063872235">
      <w:marLeft w:val="0"/>
      <w:marRight w:val="0"/>
      <w:marTop w:val="0"/>
      <w:marBottom w:val="0"/>
      <w:divBdr>
        <w:top w:val="none" w:sz="0" w:space="0" w:color="auto"/>
        <w:left w:val="none" w:sz="0" w:space="0" w:color="auto"/>
        <w:bottom w:val="none" w:sz="0" w:space="0" w:color="auto"/>
        <w:right w:val="none" w:sz="0" w:space="0" w:color="auto"/>
      </w:divBdr>
    </w:div>
    <w:div w:id="1377006063">
      <w:bodyDiv w:val="1"/>
      <w:marLeft w:val="0"/>
      <w:marRight w:val="0"/>
      <w:marTop w:val="0"/>
      <w:marBottom w:val="0"/>
      <w:divBdr>
        <w:top w:val="none" w:sz="0" w:space="0" w:color="auto"/>
        <w:left w:val="none" w:sz="0" w:space="0" w:color="auto"/>
        <w:bottom w:val="none" w:sz="0" w:space="0" w:color="auto"/>
        <w:right w:val="none" w:sz="0" w:space="0" w:color="auto"/>
      </w:divBdr>
    </w:div>
    <w:div w:id="1647198740">
      <w:bodyDiv w:val="1"/>
      <w:marLeft w:val="0"/>
      <w:marRight w:val="0"/>
      <w:marTop w:val="0"/>
      <w:marBottom w:val="0"/>
      <w:divBdr>
        <w:top w:val="none" w:sz="0" w:space="0" w:color="auto"/>
        <w:left w:val="none" w:sz="0" w:space="0" w:color="auto"/>
        <w:bottom w:val="none" w:sz="0" w:space="0" w:color="auto"/>
        <w:right w:val="none" w:sz="0" w:space="0" w:color="auto"/>
      </w:divBdr>
    </w:div>
    <w:div w:id="182577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laybytherules.net.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CE3BA-9FDF-4134-BC02-5F727D976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877</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ACHRA AHRC release 2015</vt:lpstr>
    </vt:vector>
  </TitlesOfParts>
  <Company>Australian Human Rights Commission</Company>
  <LinksUpToDate>false</LinksUpToDate>
  <CharactersWithSpaces>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ACHRA AHRC release 2015</dc:title>
  <dc:creator>Training13</dc:creator>
  <cp:lastModifiedBy>Helen Watchirs</cp:lastModifiedBy>
  <cp:revision>3</cp:revision>
  <cp:lastPrinted>2017-05-01T02:10:00Z</cp:lastPrinted>
  <dcterms:created xsi:type="dcterms:W3CDTF">2017-05-01T01:15:00Z</dcterms:created>
  <dcterms:modified xsi:type="dcterms:W3CDTF">2017-05-01T02:10:00Z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Ref.">
    <vt:lpwstr/>
  </property>
  <property fmtid="{D5CDD505-2E9C-101B-9397-08002B2CF9AE}" pid="3" name="Doc. Type">
    <vt:lpwstr/>
  </property>
  <property fmtid="{D5CDD505-2E9C-101B-9397-08002B2CF9AE}" pid="4" name="TRIMID">
    <vt:lpwstr/>
  </property>
</Properties>
</file>